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56BA1" w14:textId="6F017412" w:rsidR="000F69E5" w:rsidRPr="00407C9B" w:rsidRDefault="00BF6F06" w:rsidP="00407C9B">
      <w:pPr>
        <w:jc w:val="center"/>
        <w:rPr>
          <w:b/>
          <w:bCs/>
          <w:sz w:val="32"/>
          <w:szCs w:val="32"/>
        </w:rPr>
      </w:pPr>
      <w:r w:rsidRPr="00407C9B">
        <w:rPr>
          <w:b/>
          <w:bCs/>
          <w:sz w:val="32"/>
          <w:szCs w:val="32"/>
        </w:rPr>
        <w:t>Employee Benefits Package</w:t>
      </w:r>
    </w:p>
    <w:p w14:paraId="30B0D2FC" w14:textId="5C1F2665" w:rsidR="00BF6F06" w:rsidRDefault="00BF6F06" w:rsidP="6E2C264F">
      <w:pPr>
        <w:rPr>
          <w:b/>
          <w:bCs/>
          <w:sz w:val="24"/>
          <w:szCs w:val="24"/>
        </w:rPr>
      </w:pPr>
      <w:r w:rsidRPr="6E2C264F">
        <w:rPr>
          <w:b/>
          <w:bCs/>
          <w:sz w:val="24"/>
          <w:szCs w:val="24"/>
        </w:rPr>
        <w:t>At Bristol Law Centre</w:t>
      </w:r>
      <w:r w:rsidR="000A0B55" w:rsidRPr="6E2C264F">
        <w:rPr>
          <w:b/>
          <w:bCs/>
          <w:sz w:val="24"/>
          <w:szCs w:val="24"/>
        </w:rPr>
        <w:t xml:space="preserve"> (BLC)</w:t>
      </w:r>
      <w:r w:rsidRPr="6E2C264F">
        <w:rPr>
          <w:b/>
          <w:bCs/>
          <w:sz w:val="24"/>
          <w:szCs w:val="24"/>
        </w:rPr>
        <w:t xml:space="preserve"> we value our </w:t>
      </w:r>
      <w:r w:rsidR="2BC9C0AB" w:rsidRPr="6E2C264F">
        <w:rPr>
          <w:b/>
          <w:bCs/>
          <w:sz w:val="24"/>
          <w:szCs w:val="24"/>
        </w:rPr>
        <w:t>colleagues’</w:t>
      </w:r>
      <w:r w:rsidRPr="6E2C264F">
        <w:rPr>
          <w:b/>
          <w:bCs/>
          <w:sz w:val="24"/>
          <w:szCs w:val="24"/>
        </w:rPr>
        <w:t xml:space="preserve"> health and wellbeing and are committed to en</w:t>
      </w:r>
      <w:r w:rsidR="00249F8A" w:rsidRPr="6E2C264F">
        <w:rPr>
          <w:b/>
          <w:bCs/>
          <w:sz w:val="24"/>
          <w:szCs w:val="24"/>
        </w:rPr>
        <w:t>abling a</w:t>
      </w:r>
      <w:r w:rsidRPr="6E2C264F">
        <w:rPr>
          <w:b/>
          <w:bCs/>
          <w:sz w:val="24"/>
          <w:szCs w:val="24"/>
        </w:rPr>
        <w:t xml:space="preserve"> happy and fulfilling </w:t>
      </w:r>
      <w:r w:rsidR="00564A41" w:rsidRPr="6E2C264F">
        <w:rPr>
          <w:b/>
          <w:bCs/>
          <w:sz w:val="24"/>
          <w:szCs w:val="24"/>
        </w:rPr>
        <w:t xml:space="preserve">workplace environment and </w:t>
      </w:r>
      <w:r w:rsidR="00407C9B" w:rsidRPr="6E2C264F">
        <w:rPr>
          <w:b/>
          <w:bCs/>
          <w:sz w:val="24"/>
          <w:szCs w:val="24"/>
        </w:rPr>
        <w:t>career.</w:t>
      </w:r>
    </w:p>
    <w:sdt>
      <w:sdtPr>
        <w:rPr>
          <w:rFonts w:asciiTheme="minorHAnsi" w:eastAsiaTheme="minorEastAsia" w:hAnsiTheme="minorHAnsi" w:cstheme="minorBidi"/>
          <w:color w:val="auto"/>
          <w:kern w:val="2"/>
          <w:sz w:val="22"/>
          <w:szCs w:val="22"/>
          <w:lang w:val="en-GB"/>
          <w14:ligatures w14:val="standardContextual"/>
        </w:rPr>
        <w:id w:val="813695172"/>
        <w:docPartObj>
          <w:docPartGallery w:val="Table of Contents"/>
          <w:docPartUnique/>
        </w:docPartObj>
      </w:sdtPr>
      <w:sdtEndPr>
        <w:rPr>
          <w:b/>
          <w:bCs/>
          <w:noProof/>
        </w:rPr>
      </w:sdtEndPr>
      <w:sdtContent>
        <w:p w14:paraId="09DD51EF" w14:textId="2E9CA4D8" w:rsidR="00432FC3" w:rsidRDefault="00432FC3">
          <w:pPr>
            <w:pStyle w:val="TOCHeading"/>
          </w:pPr>
          <w:r>
            <w:t>Contents</w:t>
          </w:r>
        </w:p>
        <w:p w14:paraId="3D7A9AEC" w14:textId="77777777" w:rsidR="00F40039" w:rsidRPr="00F40039" w:rsidRDefault="00F40039" w:rsidP="00F40039">
          <w:pPr>
            <w:rPr>
              <w:lang w:val="en-US"/>
            </w:rPr>
          </w:pPr>
        </w:p>
        <w:p w14:paraId="013970CD" w14:textId="0B54679F" w:rsidR="009B12F2" w:rsidRDefault="009B12F2">
          <w:pPr>
            <w:pStyle w:val="TOC2"/>
            <w:tabs>
              <w:tab w:val="right" w:leader="dot" w:pos="9016"/>
            </w:tabs>
            <w:rPr>
              <w:rFonts w:eastAsiaTheme="minorEastAsia"/>
              <w:noProof/>
              <w:sz w:val="24"/>
              <w:szCs w:val="24"/>
              <w:lang w:eastAsia="en-GB"/>
            </w:rPr>
          </w:pPr>
          <w:r>
            <w:fldChar w:fldCharType="begin"/>
          </w:r>
          <w:r>
            <w:instrText xml:space="preserve"> TOC \o "1-3" \n \h \z \u </w:instrText>
          </w:r>
          <w:r>
            <w:fldChar w:fldCharType="separate"/>
          </w:r>
          <w:hyperlink w:anchor="_Toc178164307" w:history="1">
            <w:r w:rsidRPr="00F71A8E">
              <w:rPr>
                <w:rStyle w:val="Hyperlink"/>
                <w:noProof/>
              </w:rPr>
              <w:t>Work-Life Balance</w:t>
            </w:r>
          </w:hyperlink>
        </w:p>
        <w:p w14:paraId="13A91E20" w14:textId="74302340" w:rsidR="009B12F2" w:rsidRDefault="009B12F2">
          <w:pPr>
            <w:pStyle w:val="TOC3"/>
            <w:tabs>
              <w:tab w:val="right" w:leader="dot" w:pos="9016"/>
            </w:tabs>
            <w:rPr>
              <w:rFonts w:eastAsiaTheme="minorEastAsia"/>
              <w:noProof/>
              <w:sz w:val="24"/>
              <w:szCs w:val="24"/>
              <w:lang w:eastAsia="en-GB"/>
            </w:rPr>
          </w:pPr>
          <w:hyperlink w:anchor="_Toc178164308" w:history="1">
            <w:r w:rsidRPr="00F71A8E">
              <w:rPr>
                <w:rStyle w:val="Hyperlink"/>
                <w:noProof/>
                <w:color w:val="345964" w:themeColor="hyperlink" w:themeShade="BF"/>
              </w:rPr>
              <w:t>Working Hours</w:t>
            </w:r>
          </w:hyperlink>
        </w:p>
        <w:p w14:paraId="59F56733" w14:textId="290CDBC1" w:rsidR="009B12F2" w:rsidRDefault="009B12F2">
          <w:pPr>
            <w:pStyle w:val="TOC3"/>
            <w:tabs>
              <w:tab w:val="right" w:leader="dot" w:pos="9016"/>
            </w:tabs>
            <w:rPr>
              <w:rFonts w:eastAsiaTheme="minorEastAsia"/>
              <w:noProof/>
              <w:sz w:val="24"/>
              <w:szCs w:val="24"/>
              <w:lang w:eastAsia="en-GB"/>
            </w:rPr>
          </w:pPr>
          <w:hyperlink w:anchor="_Toc178164309" w:history="1">
            <w:r w:rsidRPr="00F71A8E">
              <w:rPr>
                <w:rStyle w:val="Hyperlink"/>
                <w:noProof/>
                <w:color w:val="345964" w:themeColor="hyperlink" w:themeShade="BF"/>
              </w:rPr>
              <w:t>Annual Leave</w:t>
            </w:r>
          </w:hyperlink>
        </w:p>
        <w:p w14:paraId="3684F000" w14:textId="48B97974" w:rsidR="009B12F2" w:rsidRDefault="009B12F2">
          <w:pPr>
            <w:pStyle w:val="TOC3"/>
            <w:tabs>
              <w:tab w:val="right" w:leader="dot" w:pos="9016"/>
            </w:tabs>
            <w:rPr>
              <w:rFonts w:eastAsiaTheme="minorEastAsia"/>
              <w:noProof/>
              <w:sz w:val="24"/>
              <w:szCs w:val="24"/>
              <w:lang w:eastAsia="en-GB"/>
            </w:rPr>
          </w:pPr>
          <w:hyperlink w:anchor="_Toc178164310" w:history="1">
            <w:r w:rsidRPr="00F71A8E">
              <w:rPr>
                <w:rStyle w:val="Hyperlink"/>
                <w:noProof/>
                <w:color w:val="345964" w:themeColor="hyperlink" w:themeShade="BF"/>
              </w:rPr>
              <w:t>TOIL</w:t>
            </w:r>
          </w:hyperlink>
        </w:p>
        <w:p w14:paraId="24F7F157" w14:textId="4043E619" w:rsidR="009B12F2" w:rsidRDefault="009B12F2">
          <w:pPr>
            <w:pStyle w:val="TOC3"/>
            <w:tabs>
              <w:tab w:val="right" w:leader="dot" w:pos="9016"/>
            </w:tabs>
            <w:rPr>
              <w:rFonts w:eastAsiaTheme="minorEastAsia"/>
              <w:noProof/>
              <w:sz w:val="24"/>
              <w:szCs w:val="24"/>
              <w:lang w:eastAsia="en-GB"/>
            </w:rPr>
          </w:pPr>
          <w:hyperlink w:anchor="_Toc178164311" w:history="1">
            <w:r w:rsidRPr="00F71A8E">
              <w:rPr>
                <w:rStyle w:val="Hyperlink"/>
                <w:noProof/>
                <w:color w:val="345964" w:themeColor="hyperlink" w:themeShade="BF"/>
              </w:rPr>
              <w:t>Right to Disconnect</w:t>
            </w:r>
          </w:hyperlink>
        </w:p>
        <w:p w14:paraId="56F25911" w14:textId="16EABD27" w:rsidR="009B12F2" w:rsidRDefault="009B12F2">
          <w:pPr>
            <w:pStyle w:val="TOC3"/>
            <w:tabs>
              <w:tab w:val="right" w:leader="dot" w:pos="9016"/>
            </w:tabs>
            <w:rPr>
              <w:rFonts w:eastAsiaTheme="minorEastAsia"/>
              <w:noProof/>
              <w:sz w:val="24"/>
              <w:szCs w:val="24"/>
              <w:lang w:eastAsia="en-GB"/>
            </w:rPr>
          </w:pPr>
          <w:hyperlink w:anchor="_Toc178164312" w:history="1">
            <w:r w:rsidRPr="00F71A8E">
              <w:rPr>
                <w:rStyle w:val="Hyperlink"/>
                <w:noProof/>
                <w:color w:val="345964" w:themeColor="hyperlink" w:themeShade="BF"/>
              </w:rPr>
              <w:t>Maternity, Adoption, Shared Parental Leave</w:t>
            </w:r>
          </w:hyperlink>
        </w:p>
        <w:p w14:paraId="2A4FBF70" w14:textId="7F0DFE9D" w:rsidR="009B12F2" w:rsidRDefault="009B12F2">
          <w:pPr>
            <w:pStyle w:val="TOC3"/>
            <w:tabs>
              <w:tab w:val="right" w:leader="dot" w:pos="9016"/>
            </w:tabs>
            <w:rPr>
              <w:rFonts w:eastAsiaTheme="minorEastAsia"/>
              <w:noProof/>
              <w:sz w:val="24"/>
              <w:szCs w:val="24"/>
              <w:lang w:eastAsia="en-GB"/>
            </w:rPr>
          </w:pPr>
          <w:hyperlink w:anchor="_Toc178164313" w:history="1">
            <w:r w:rsidRPr="00F71A8E">
              <w:rPr>
                <w:rStyle w:val="Hyperlink"/>
                <w:noProof/>
                <w:color w:val="345964" w:themeColor="hyperlink" w:themeShade="BF"/>
              </w:rPr>
              <w:t>Flexible Working</w:t>
            </w:r>
          </w:hyperlink>
        </w:p>
        <w:p w14:paraId="506FF27E" w14:textId="78BCD360" w:rsidR="009B12F2" w:rsidRDefault="009B12F2">
          <w:pPr>
            <w:pStyle w:val="TOC3"/>
            <w:tabs>
              <w:tab w:val="right" w:leader="dot" w:pos="9016"/>
            </w:tabs>
            <w:rPr>
              <w:rFonts w:eastAsiaTheme="minorEastAsia"/>
              <w:noProof/>
              <w:sz w:val="24"/>
              <w:szCs w:val="24"/>
              <w:lang w:eastAsia="en-GB"/>
            </w:rPr>
          </w:pPr>
          <w:hyperlink w:anchor="_Toc178164314" w:history="1">
            <w:r w:rsidRPr="00F71A8E">
              <w:rPr>
                <w:rStyle w:val="Hyperlink"/>
                <w:noProof/>
                <w:color w:val="345964" w:themeColor="hyperlink" w:themeShade="BF"/>
              </w:rPr>
              <w:t>Hybrid working</w:t>
            </w:r>
          </w:hyperlink>
        </w:p>
        <w:p w14:paraId="71B6BE90" w14:textId="22A6F681" w:rsidR="009B12F2" w:rsidRDefault="009B12F2">
          <w:pPr>
            <w:pStyle w:val="TOC2"/>
            <w:tabs>
              <w:tab w:val="right" w:leader="dot" w:pos="9016"/>
            </w:tabs>
            <w:rPr>
              <w:rFonts w:eastAsiaTheme="minorEastAsia"/>
              <w:noProof/>
              <w:sz w:val="24"/>
              <w:szCs w:val="24"/>
              <w:lang w:eastAsia="en-GB"/>
            </w:rPr>
          </w:pPr>
          <w:hyperlink w:anchor="_Toc178164315" w:history="1">
            <w:r w:rsidRPr="00F71A8E">
              <w:rPr>
                <w:rStyle w:val="Hyperlink"/>
                <w:noProof/>
              </w:rPr>
              <w:t>Financial</w:t>
            </w:r>
          </w:hyperlink>
        </w:p>
        <w:p w14:paraId="0AB97EA5" w14:textId="3CAFC61A" w:rsidR="009B12F2" w:rsidRDefault="009B12F2">
          <w:pPr>
            <w:pStyle w:val="TOC3"/>
            <w:tabs>
              <w:tab w:val="right" w:leader="dot" w:pos="9016"/>
            </w:tabs>
            <w:rPr>
              <w:rFonts w:eastAsiaTheme="minorEastAsia"/>
              <w:noProof/>
              <w:sz w:val="24"/>
              <w:szCs w:val="24"/>
              <w:lang w:eastAsia="en-GB"/>
            </w:rPr>
          </w:pPr>
          <w:hyperlink w:anchor="_Toc178164316" w:history="1">
            <w:r w:rsidRPr="00F71A8E">
              <w:rPr>
                <w:rStyle w:val="Hyperlink"/>
                <w:noProof/>
                <w:color w:val="345964" w:themeColor="hyperlink" w:themeShade="BF"/>
              </w:rPr>
              <w:t>Pension</w:t>
            </w:r>
          </w:hyperlink>
        </w:p>
        <w:p w14:paraId="093C3BD0" w14:textId="106A2A32" w:rsidR="009B12F2" w:rsidRDefault="009B12F2">
          <w:pPr>
            <w:pStyle w:val="TOC3"/>
            <w:tabs>
              <w:tab w:val="right" w:leader="dot" w:pos="9016"/>
            </w:tabs>
            <w:rPr>
              <w:rFonts w:eastAsiaTheme="minorEastAsia"/>
              <w:noProof/>
              <w:sz w:val="24"/>
              <w:szCs w:val="24"/>
              <w:lang w:eastAsia="en-GB"/>
            </w:rPr>
          </w:pPr>
          <w:hyperlink w:anchor="_Toc178164317" w:history="1">
            <w:r w:rsidRPr="00F71A8E">
              <w:rPr>
                <w:rStyle w:val="Hyperlink"/>
                <w:noProof/>
                <w:color w:val="345964" w:themeColor="hyperlink" w:themeShade="BF"/>
              </w:rPr>
              <w:t>Free On-Site Tea and Coffee</w:t>
            </w:r>
          </w:hyperlink>
        </w:p>
        <w:p w14:paraId="66CF530E" w14:textId="0DB34E82" w:rsidR="009B12F2" w:rsidRDefault="009B12F2">
          <w:pPr>
            <w:pStyle w:val="TOC3"/>
            <w:tabs>
              <w:tab w:val="right" w:leader="dot" w:pos="9016"/>
            </w:tabs>
            <w:rPr>
              <w:rFonts w:eastAsiaTheme="minorEastAsia"/>
              <w:noProof/>
              <w:sz w:val="24"/>
              <w:szCs w:val="24"/>
              <w:lang w:eastAsia="en-GB"/>
            </w:rPr>
          </w:pPr>
          <w:hyperlink w:anchor="_Toc178164318" w:history="1">
            <w:r w:rsidRPr="00F71A8E">
              <w:rPr>
                <w:rStyle w:val="Hyperlink"/>
                <w:noProof/>
                <w:color w:val="345964" w:themeColor="hyperlink" w:themeShade="BF"/>
              </w:rPr>
              <w:t>On-Site Parking</w:t>
            </w:r>
          </w:hyperlink>
        </w:p>
        <w:p w14:paraId="3AB23EA4" w14:textId="12A8AC71" w:rsidR="009B12F2" w:rsidRDefault="009B12F2">
          <w:pPr>
            <w:pStyle w:val="TOC3"/>
            <w:tabs>
              <w:tab w:val="right" w:leader="dot" w:pos="9016"/>
            </w:tabs>
            <w:rPr>
              <w:rFonts w:eastAsiaTheme="minorEastAsia"/>
              <w:noProof/>
              <w:sz w:val="24"/>
              <w:szCs w:val="24"/>
              <w:lang w:eastAsia="en-GB"/>
            </w:rPr>
          </w:pPr>
          <w:hyperlink w:anchor="_Toc178164319" w:history="1">
            <w:r w:rsidRPr="00F71A8E">
              <w:rPr>
                <w:rStyle w:val="Hyperlink"/>
                <w:noProof/>
                <w:color w:val="345964" w:themeColor="hyperlink" w:themeShade="BF"/>
              </w:rPr>
              <w:t>Discretionary Payments</w:t>
            </w:r>
          </w:hyperlink>
        </w:p>
        <w:p w14:paraId="6319EB66" w14:textId="5F589050" w:rsidR="009B12F2" w:rsidRDefault="009B12F2">
          <w:pPr>
            <w:pStyle w:val="TOC3"/>
            <w:tabs>
              <w:tab w:val="right" w:leader="dot" w:pos="9016"/>
            </w:tabs>
            <w:rPr>
              <w:rFonts w:eastAsiaTheme="minorEastAsia"/>
              <w:noProof/>
              <w:sz w:val="24"/>
              <w:szCs w:val="24"/>
              <w:lang w:eastAsia="en-GB"/>
            </w:rPr>
          </w:pPr>
          <w:hyperlink w:anchor="_Toc178164320" w:history="1">
            <w:r w:rsidRPr="00F71A8E">
              <w:rPr>
                <w:rStyle w:val="Hyperlink"/>
                <w:noProof/>
                <w:color w:val="345964" w:themeColor="hyperlink" w:themeShade="BF"/>
              </w:rPr>
              <w:t>Pay Progression</w:t>
            </w:r>
          </w:hyperlink>
        </w:p>
        <w:p w14:paraId="74688F61" w14:textId="5433A22C" w:rsidR="009B12F2" w:rsidRDefault="009B12F2">
          <w:pPr>
            <w:pStyle w:val="TOC2"/>
            <w:tabs>
              <w:tab w:val="right" w:leader="dot" w:pos="9016"/>
            </w:tabs>
            <w:rPr>
              <w:rFonts w:eastAsiaTheme="minorEastAsia"/>
              <w:noProof/>
              <w:sz w:val="24"/>
              <w:szCs w:val="24"/>
              <w:lang w:eastAsia="en-GB"/>
            </w:rPr>
          </w:pPr>
          <w:hyperlink w:anchor="_Toc178164321" w:history="1">
            <w:r w:rsidRPr="00F71A8E">
              <w:rPr>
                <w:rStyle w:val="Hyperlink"/>
                <w:noProof/>
              </w:rPr>
              <w:t>Health and Wellbeing</w:t>
            </w:r>
          </w:hyperlink>
        </w:p>
        <w:p w14:paraId="6A516895" w14:textId="6E62E119" w:rsidR="009B12F2" w:rsidRDefault="009B12F2">
          <w:pPr>
            <w:pStyle w:val="TOC3"/>
            <w:tabs>
              <w:tab w:val="right" w:leader="dot" w:pos="9016"/>
            </w:tabs>
            <w:rPr>
              <w:rFonts w:eastAsiaTheme="minorEastAsia"/>
              <w:noProof/>
              <w:sz w:val="24"/>
              <w:szCs w:val="24"/>
              <w:lang w:eastAsia="en-GB"/>
            </w:rPr>
          </w:pPr>
          <w:hyperlink w:anchor="_Toc178164322" w:history="1">
            <w:r w:rsidRPr="00F71A8E">
              <w:rPr>
                <w:rStyle w:val="Hyperlink"/>
                <w:noProof/>
                <w:color w:val="345964" w:themeColor="hyperlink" w:themeShade="BF"/>
              </w:rPr>
              <w:t>EAP</w:t>
            </w:r>
          </w:hyperlink>
        </w:p>
        <w:p w14:paraId="50260F25" w14:textId="72840519" w:rsidR="009B12F2" w:rsidRDefault="009B12F2">
          <w:pPr>
            <w:pStyle w:val="TOC3"/>
            <w:tabs>
              <w:tab w:val="right" w:leader="dot" w:pos="9016"/>
            </w:tabs>
            <w:rPr>
              <w:rFonts w:eastAsiaTheme="minorEastAsia"/>
              <w:noProof/>
              <w:sz w:val="24"/>
              <w:szCs w:val="24"/>
              <w:lang w:eastAsia="en-GB"/>
            </w:rPr>
          </w:pPr>
          <w:hyperlink w:anchor="_Toc178164323" w:history="1">
            <w:r w:rsidRPr="00F71A8E">
              <w:rPr>
                <w:rStyle w:val="Hyperlink"/>
                <w:noProof/>
                <w:color w:val="345964" w:themeColor="hyperlink" w:themeShade="BF"/>
              </w:rPr>
              <w:t>Clinical Supervision</w:t>
            </w:r>
          </w:hyperlink>
        </w:p>
        <w:p w14:paraId="5F1FD14F" w14:textId="073F4519" w:rsidR="009B12F2" w:rsidRDefault="009B12F2">
          <w:pPr>
            <w:pStyle w:val="TOC3"/>
            <w:tabs>
              <w:tab w:val="right" w:leader="dot" w:pos="9016"/>
            </w:tabs>
            <w:rPr>
              <w:rFonts w:eastAsiaTheme="minorEastAsia"/>
              <w:noProof/>
              <w:sz w:val="24"/>
              <w:szCs w:val="24"/>
              <w:lang w:eastAsia="en-GB"/>
            </w:rPr>
          </w:pPr>
          <w:hyperlink w:anchor="_Toc178164324" w:history="1">
            <w:r w:rsidRPr="00F71A8E">
              <w:rPr>
                <w:rStyle w:val="Hyperlink"/>
                <w:noProof/>
                <w:color w:val="345964" w:themeColor="hyperlink" w:themeShade="BF"/>
              </w:rPr>
              <w:t>Regular Line Manager Support</w:t>
            </w:r>
          </w:hyperlink>
        </w:p>
        <w:p w14:paraId="62ADBFDB" w14:textId="423B7B68" w:rsidR="009B12F2" w:rsidRDefault="009B12F2">
          <w:pPr>
            <w:pStyle w:val="TOC3"/>
            <w:tabs>
              <w:tab w:val="right" w:leader="dot" w:pos="9016"/>
            </w:tabs>
            <w:rPr>
              <w:rFonts w:eastAsiaTheme="minorEastAsia"/>
              <w:noProof/>
              <w:sz w:val="24"/>
              <w:szCs w:val="24"/>
              <w:lang w:eastAsia="en-GB"/>
            </w:rPr>
          </w:pPr>
          <w:hyperlink w:anchor="_Toc178164325" w:history="1">
            <w:r w:rsidRPr="00F71A8E">
              <w:rPr>
                <w:rStyle w:val="Hyperlink"/>
                <w:noProof/>
                <w:color w:val="345964" w:themeColor="hyperlink" w:themeShade="BF"/>
              </w:rPr>
              <w:t>Appraisals</w:t>
            </w:r>
          </w:hyperlink>
        </w:p>
        <w:p w14:paraId="3EA60D93" w14:textId="5C3EEDE4" w:rsidR="009B12F2" w:rsidRDefault="009B12F2">
          <w:pPr>
            <w:pStyle w:val="TOC3"/>
            <w:tabs>
              <w:tab w:val="right" w:leader="dot" w:pos="9016"/>
            </w:tabs>
            <w:rPr>
              <w:rFonts w:eastAsiaTheme="minorEastAsia"/>
              <w:noProof/>
              <w:sz w:val="24"/>
              <w:szCs w:val="24"/>
              <w:lang w:eastAsia="en-GB"/>
            </w:rPr>
          </w:pPr>
          <w:hyperlink w:anchor="_Toc178164326" w:history="1">
            <w:r w:rsidRPr="00F71A8E">
              <w:rPr>
                <w:rStyle w:val="Hyperlink"/>
                <w:noProof/>
                <w:color w:val="345964" w:themeColor="hyperlink" w:themeShade="BF"/>
              </w:rPr>
              <w:t>Mental Health First Aiders</w:t>
            </w:r>
          </w:hyperlink>
        </w:p>
        <w:p w14:paraId="03639227" w14:textId="2B61F8BA" w:rsidR="009B12F2" w:rsidRDefault="009B12F2">
          <w:pPr>
            <w:pStyle w:val="TOC3"/>
            <w:tabs>
              <w:tab w:val="right" w:leader="dot" w:pos="9016"/>
            </w:tabs>
            <w:rPr>
              <w:rFonts w:eastAsiaTheme="minorEastAsia"/>
              <w:noProof/>
              <w:sz w:val="24"/>
              <w:szCs w:val="24"/>
              <w:lang w:eastAsia="en-GB"/>
            </w:rPr>
          </w:pPr>
          <w:hyperlink w:anchor="_Toc178164327" w:history="1">
            <w:r w:rsidRPr="00F71A8E">
              <w:rPr>
                <w:rStyle w:val="Hyperlink"/>
                <w:noProof/>
                <w:color w:val="345964" w:themeColor="hyperlink" w:themeShade="BF"/>
              </w:rPr>
              <w:t>Staff Away Days</w:t>
            </w:r>
          </w:hyperlink>
        </w:p>
        <w:p w14:paraId="1DEA9C2A" w14:textId="6C342AEC" w:rsidR="009B12F2" w:rsidRDefault="009B12F2">
          <w:pPr>
            <w:pStyle w:val="TOC2"/>
            <w:tabs>
              <w:tab w:val="right" w:leader="dot" w:pos="9016"/>
            </w:tabs>
            <w:rPr>
              <w:rFonts w:eastAsiaTheme="minorEastAsia"/>
              <w:noProof/>
              <w:sz w:val="24"/>
              <w:szCs w:val="24"/>
              <w:lang w:eastAsia="en-GB"/>
            </w:rPr>
          </w:pPr>
          <w:hyperlink w:anchor="_Toc178164328" w:history="1">
            <w:r w:rsidRPr="00F71A8E">
              <w:rPr>
                <w:rStyle w:val="Hyperlink"/>
                <w:noProof/>
              </w:rPr>
              <w:t>Development</w:t>
            </w:r>
          </w:hyperlink>
        </w:p>
        <w:p w14:paraId="4C75C15D" w14:textId="773CCF4B" w:rsidR="009B12F2" w:rsidRDefault="009B12F2">
          <w:pPr>
            <w:pStyle w:val="TOC3"/>
            <w:tabs>
              <w:tab w:val="right" w:leader="dot" w:pos="9016"/>
            </w:tabs>
            <w:rPr>
              <w:rFonts w:eastAsiaTheme="minorEastAsia"/>
              <w:noProof/>
              <w:sz w:val="24"/>
              <w:szCs w:val="24"/>
              <w:lang w:eastAsia="en-GB"/>
            </w:rPr>
          </w:pPr>
          <w:hyperlink w:anchor="_Toc178164329" w:history="1">
            <w:r w:rsidRPr="00F71A8E">
              <w:rPr>
                <w:rStyle w:val="Hyperlink"/>
                <w:noProof/>
                <w:color w:val="345964" w:themeColor="hyperlink" w:themeShade="BF"/>
              </w:rPr>
              <w:t>Study Leave</w:t>
            </w:r>
          </w:hyperlink>
        </w:p>
        <w:p w14:paraId="5C87D8E9" w14:textId="00551FE9" w:rsidR="009B12F2" w:rsidRDefault="009B12F2">
          <w:pPr>
            <w:pStyle w:val="TOC3"/>
            <w:tabs>
              <w:tab w:val="right" w:leader="dot" w:pos="9016"/>
            </w:tabs>
            <w:rPr>
              <w:rFonts w:eastAsiaTheme="minorEastAsia"/>
              <w:noProof/>
              <w:sz w:val="24"/>
              <w:szCs w:val="24"/>
              <w:lang w:eastAsia="en-GB"/>
            </w:rPr>
          </w:pPr>
          <w:hyperlink w:anchor="_Toc178164330" w:history="1">
            <w:r w:rsidRPr="00F71A8E">
              <w:rPr>
                <w:rStyle w:val="Hyperlink"/>
                <w:noProof/>
                <w:color w:val="345964" w:themeColor="hyperlink" w:themeShade="BF"/>
              </w:rPr>
              <w:t>Learning and Development</w:t>
            </w:r>
          </w:hyperlink>
        </w:p>
        <w:p w14:paraId="46B8606D" w14:textId="62995176" w:rsidR="00BF6F06" w:rsidRDefault="009B12F2">
          <w:r>
            <w:fldChar w:fldCharType="end"/>
          </w:r>
        </w:p>
      </w:sdtContent>
    </w:sdt>
    <w:p w14:paraId="7C53569F" w14:textId="77777777" w:rsidR="00F40039" w:rsidRDefault="00F40039" w:rsidP="00BF6F06">
      <w:pPr>
        <w:pStyle w:val="Heading2"/>
      </w:pPr>
      <w:bookmarkStart w:id="0" w:name="_Toc178164307"/>
    </w:p>
    <w:p w14:paraId="03F2B825" w14:textId="1FCBD906" w:rsidR="00BF6F06" w:rsidRDefault="00BF6F06" w:rsidP="00BF6F06">
      <w:pPr>
        <w:pStyle w:val="Heading2"/>
      </w:pPr>
      <w:r>
        <w:t>Work-Life Balance</w:t>
      </w:r>
      <w:bookmarkEnd w:id="0"/>
    </w:p>
    <w:p w14:paraId="6379D523" w14:textId="13D84D89" w:rsidR="00BF6F06" w:rsidRPr="000A0B55" w:rsidRDefault="00BF6F06" w:rsidP="000A0B55">
      <w:pPr>
        <w:pStyle w:val="Heading3"/>
        <w:rPr>
          <w:color w:val="ADADAD" w:themeColor="background2" w:themeShade="BF"/>
        </w:rPr>
      </w:pPr>
      <w:bookmarkStart w:id="1" w:name="_Toc178164308"/>
      <w:r w:rsidRPr="000A0B55">
        <w:rPr>
          <w:color w:val="ADADAD" w:themeColor="background2" w:themeShade="BF"/>
        </w:rPr>
        <w:t>Working Hours</w:t>
      </w:r>
      <w:bookmarkEnd w:id="1"/>
      <w:r w:rsidRPr="000A0B55">
        <w:rPr>
          <w:color w:val="ADADAD" w:themeColor="background2" w:themeShade="BF"/>
        </w:rPr>
        <w:t xml:space="preserve"> </w:t>
      </w:r>
    </w:p>
    <w:p w14:paraId="08239936" w14:textId="7856A588" w:rsidR="00BF6F06" w:rsidRDefault="00BF6F06" w:rsidP="00BF6F06">
      <w:r>
        <w:t xml:space="preserve">Full time colleagues are contracted to work 35 hours per week, we are open to discussion about flexible working such as part time, compressed, non-standard hours, working from home or job sharing. </w:t>
      </w:r>
    </w:p>
    <w:p w14:paraId="763BA22E" w14:textId="0BAF142A" w:rsidR="00BF6F06" w:rsidRPr="000A0B55" w:rsidRDefault="00BF6F06" w:rsidP="000A0B55">
      <w:pPr>
        <w:pStyle w:val="Heading3"/>
        <w:rPr>
          <w:color w:val="ADADAD" w:themeColor="background2" w:themeShade="BF"/>
        </w:rPr>
      </w:pPr>
      <w:bookmarkStart w:id="2" w:name="_Toc178164309"/>
      <w:r w:rsidRPr="000A0B55">
        <w:rPr>
          <w:color w:val="ADADAD" w:themeColor="background2" w:themeShade="BF"/>
        </w:rPr>
        <w:t>Annual Leave</w:t>
      </w:r>
      <w:bookmarkEnd w:id="2"/>
    </w:p>
    <w:p w14:paraId="08D213EE" w14:textId="74C43C4E" w:rsidR="00BF6F06" w:rsidRDefault="00BF6F06" w:rsidP="00BF6F06">
      <w:r>
        <w:t xml:space="preserve">We offer </w:t>
      </w:r>
      <w:r w:rsidR="006C2791">
        <w:t xml:space="preserve">a </w:t>
      </w:r>
      <w:r>
        <w:t>generous annual leave allowance. Colleagues are entitled to 30 days plus</w:t>
      </w:r>
      <w:r w:rsidR="00F63AA0">
        <w:t xml:space="preserve"> English</w:t>
      </w:r>
      <w:r>
        <w:t xml:space="preserve"> bank holidays (pro rata for part time staff) as well as the </w:t>
      </w:r>
      <w:r w:rsidR="00F63AA0">
        <w:t xml:space="preserve">time </w:t>
      </w:r>
      <w:r>
        <w:t xml:space="preserve">between Christmas and New Year. Colleagues </w:t>
      </w:r>
      <w:r w:rsidR="21585A01">
        <w:t>can</w:t>
      </w:r>
      <w:r>
        <w:t xml:space="preserve"> carry up to 5 days (pro rata) leave </w:t>
      </w:r>
      <w:r w:rsidR="000A0B55">
        <w:t>in</w:t>
      </w:r>
      <w:r>
        <w:t>to the next leave year. BLC leave year runs from 1</w:t>
      </w:r>
      <w:r w:rsidRPr="6E2C264F">
        <w:rPr>
          <w:vertAlign w:val="superscript"/>
        </w:rPr>
        <w:t>st</w:t>
      </w:r>
      <w:r>
        <w:t xml:space="preserve"> Jan-31</w:t>
      </w:r>
      <w:r w:rsidRPr="6E2C264F">
        <w:rPr>
          <w:vertAlign w:val="superscript"/>
        </w:rPr>
        <w:t>st</w:t>
      </w:r>
      <w:r>
        <w:t xml:space="preserve"> Dec.</w:t>
      </w:r>
    </w:p>
    <w:p w14:paraId="1AD1D4C0" w14:textId="77777777" w:rsidR="00BF6F06" w:rsidRPr="000A0B55" w:rsidRDefault="00BF6F06" w:rsidP="000A0B55">
      <w:pPr>
        <w:pStyle w:val="Heading3"/>
        <w:rPr>
          <w:color w:val="ADADAD" w:themeColor="background2" w:themeShade="BF"/>
        </w:rPr>
      </w:pPr>
      <w:bookmarkStart w:id="3" w:name="_Toc178164310"/>
      <w:r w:rsidRPr="000A0B55">
        <w:rPr>
          <w:color w:val="ADADAD" w:themeColor="background2" w:themeShade="BF"/>
        </w:rPr>
        <w:t>TOIL</w:t>
      </w:r>
      <w:bookmarkEnd w:id="3"/>
    </w:p>
    <w:p w14:paraId="1C2F0148" w14:textId="36A862CB" w:rsidR="00BF6F06" w:rsidRDefault="00BF6F06" w:rsidP="00BF6F06">
      <w:r>
        <w:t xml:space="preserve">Whilst it is not expected, BLC understands that staff may need to work outside of their usual working hours </w:t>
      </w:r>
      <w:r w:rsidR="79CDDF18">
        <w:t>to</w:t>
      </w:r>
      <w:r>
        <w:t xml:space="preserve"> meet deadlines or attend meetings and training. Colleagues are encouraged to record their hours and take Time Off In Lieu.   </w:t>
      </w:r>
    </w:p>
    <w:p w14:paraId="3E4DC3DE" w14:textId="7EF912AB" w:rsidR="00BF6F06" w:rsidRPr="000A0B55" w:rsidRDefault="00BF6F06" w:rsidP="000A0B55">
      <w:pPr>
        <w:pStyle w:val="Heading3"/>
        <w:rPr>
          <w:color w:val="ADADAD" w:themeColor="background2" w:themeShade="BF"/>
        </w:rPr>
      </w:pPr>
      <w:bookmarkStart w:id="4" w:name="_Toc178164311"/>
      <w:r w:rsidRPr="000A0B55">
        <w:rPr>
          <w:color w:val="ADADAD" w:themeColor="background2" w:themeShade="BF"/>
        </w:rPr>
        <w:t>Right to Disconnect</w:t>
      </w:r>
      <w:bookmarkEnd w:id="4"/>
      <w:r w:rsidRPr="000A0B55">
        <w:rPr>
          <w:color w:val="ADADAD" w:themeColor="background2" w:themeShade="BF"/>
        </w:rPr>
        <w:t xml:space="preserve"> </w:t>
      </w:r>
    </w:p>
    <w:p w14:paraId="7347EE45" w14:textId="0F82BEB8" w:rsidR="00BF6F06" w:rsidRDefault="00BF6F06" w:rsidP="00BF6F06">
      <w:r>
        <w:t xml:space="preserve">Colleagues are not expected, and actively encouraged, not to access their work emails or </w:t>
      </w:r>
      <w:r w:rsidR="00432FC3">
        <w:t>to answer</w:t>
      </w:r>
      <w:r w:rsidR="5B0ED09C">
        <w:t xml:space="preserve"> work related</w:t>
      </w:r>
      <w:r w:rsidR="00432FC3">
        <w:t xml:space="preserve"> </w:t>
      </w:r>
      <w:r>
        <w:t xml:space="preserve">phone </w:t>
      </w:r>
      <w:r w:rsidR="00432FC3">
        <w:t xml:space="preserve">calls </w:t>
      </w:r>
      <w:r>
        <w:t>outside of their usual working hours.</w:t>
      </w:r>
    </w:p>
    <w:p w14:paraId="25F1718A" w14:textId="4F5C60A4" w:rsidR="00432FC3" w:rsidRPr="000A0B55" w:rsidRDefault="00432FC3" w:rsidP="000A0B55">
      <w:pPr>
        <w:pStyle w:val="Heading3"/>
        <w:rPr>
          <w:color w:val="ADADAD" w:themeColor="background2" w:themeShade="BF"/>
        </w:rPr>
      </w:pPr>
      <w:bookmarkStart w:id="5" w:name="_Toc178164312"/>
      <w:r w:rsidRPr="000A0B55">
        <w:rPr>
          <w:color w:val="ADADAD" w:themeColor="background2" w:themeShade="BF"/>
        </w:rPr>
        <w:t>Maternity, Adoption, Shared Parental Leave</w:t>
      </w:r>
      <w:bookmarkEnd w:id="5"/>
    </w:p>
    <w:p w14:paraId="2725A0BC" w14:textId="7E972181" w:rsidR="00432FC3" w:rsidRDefault="00432FC3" w:rsidP="00BF6F06">
      <w:r>
        <w:t xml:space="preserve">Colleagues with at least one years’ service are entitled to 6 months of enhanced maternity leave, on full pay. </w:t>
      </w:r>
      <w:r w:rsidR="0D05BBAF">
        <w:t>F</w:t>
      </w:r>
      <w:r>
        <w:t xml:space="preserve">ull pay is offered for eligible colleagues on paternity leave. </w:t>
      </w:r>
    </w:p>
    <w:p w14:paraId="3704718A" w14:textId="30FC0BE6" w:rsidR="00432FC3" w:rsidRDefault="00432FC3" w:rsidP="00BF6F06">
      <w:r>
        <w:t xml:space="preserve">We offer adoption and shared parental leave schemes in line with statutory entitlements. </w:t>
      </w:r>
    </w:p>
    <w:p w14:paraId="590D6631" w14:textId="4C1F7056" w:rsidR="000A0B55" w:rsidRPr="000A0B55" w:rsidRDefault="000A0B55" w:rsidP="000A0B55">
      <w:pPr>
        <w:pStyle w:val="Heading3"/>
        <w:rPr>
          <w:color w:val="ADADAD" w:themeColor="background2" w:themeShade="BF"/>
        </w:rPr>
      </w:pPr>
      <w:bookmarkStart w:id="6" w:name="_Toc178164313"/>
      <w:r w:rsidRPr="000A0B55">
        <w:rPr>
          <w:color w:val="ADADAD" w:themeColor="background2" w:themeShade="BF"/>
        </w:rPr>
        <w:t>Flexible Working</w:t>
      </w:r>
      <w:bookmarkEnd w:id="6"/>
    </w:p>
    <w:p w14:paraId="3DCC6197" w14:textId="71CCBEBD" w:rsidR="00432FC3" w:rsidRDefault="000A0B55" w:rsidP="00BF6F06">
      <w:r>
        <w:t xml:space="preserve">We are committed to providing a healthy work-life balance and are open to discussing flexible working arrangements </w:t>
      </w:r>
      <w:r w:rsidR="3B6531BC">
        <w:t>regarding</w:t>
      </w:r>
      <w:r>
        <w:t xml:space="preserve"> working hours </w:t>
      </w:r>
      <w:r w:rsidRPr="5FCEF36F">
        <w:t>or location</w:t>
      </w:r>
      <w:r>
        <w:t xml:space="preserve">. </w:t>
      </w:r>
    </w:p>
    <w:p w14:paraId="55E2C7DD" w14:textId="4377F716" w:rsidR="000A0B55" w:rsidRPr="000A0B55" w:rsidRDefault="000A0B55" w:rsidP="000A0B55">
      <w:pPr>
        <w:pStyle w:val="Heading3"/>
        <w:rPr>
          <w:color w:val="ADADAD" w:themeColor="background2" w:themeShade="BF"/>
        </w:rPr>
      </w:pPr>
      <w:bookmarkStart w:id="7" w:name="_Toc178164314"/>
      <w:r w:rsidRPr="000A0B55">
        <w:rPr>
          <w:color w:val="ADADAD" w:themeColor="background2" w:themeShade="BF"/>
        </w:rPr>
        <w:t>Hybrid working</w:t>
      </w:r>
      <w:bookmarkEnd w:id="7"/>
    </w:p>
    <w:p w14:paraId="29369B80" w14:textId="3EEDB2F8" w:rsidR="000A0B55" w:rsidRPr="00BF6F06" w:rsidRDefault="000A0B55" w:rsidP="00BF6F06">
      <w:r>
        <w:t xml:space="preserve">We understand that some colleagues like to work in the vibrant and friendly office whereas some prefer to work in the quiet of their own home. We offer a hybrid working policy which allows for colleagues to work 50% of their working hours away from the office. </w:t>
      </w:r>
    </w:p>
    <w:p w14:paraId="190BA617" w14:textId="77777777" w:rsidR="00380D91" w:rsidRDefault="00380D91" w:rsidP="000A0B55">
      <w:pPr>
        <w:pStyle w:val="Heading2"/>
      </w:pPr>
      <w:bookmarkStart w:id="8" w:name="_Toc178164315"/>
    </w:p>
    <w:p w14:paraId="43D02D17" w14:textId="52AEDAC5" w:rsidR="00BF6F06" w:rsidRDefault="000A0B55" w:rsidP="000A0B55">
      <w:pPr>
        <w:pStyle w:val="Heading2"/>
      </w:pPr>
      <w:r>
        <w:t>Financial</w:t>
      </w:r>
      <w:bookmarkEnd w:id="8"/>
    </w:p>
    <w:p w14:paraId="1D3DC725" w14:textId="3ADDAB8F" w:rsidR="000A0B55" w:rsidRDefault="000A0B55" w:rsidP="000A0B55">
      <w:pPr>
        <w:pStyle w:val="Heading3"/>
        <w:rPr>
          <w:color w:val="ADADAD" w:themeColor="background2" w:themeShade="BF"/>
        </w:rPr>
      </w:pPr>
      <w:bookmarkStart w:id="9" w:name="_Toc178164316"/>
      <w:r w:rsidRPr="000A0B55">
        <w:rPr>
          <w:color w:val="ADADAD" w:themeColor="background2" w:themeShade="BF"/>
        </w:rPr>
        <w:t>Pension</w:t>
      </w:r>
      <w:bookmarkEnd w:id="9"/>
    </w:p>
    <w:p w14:paraId="5F0FC951" w14:textId="7C5BDCB1" w:rsidR="000A0B55" w:rsidRDefault="000A0B55" w:rsidP="000A0B55">
      <w:r>
        <w:t>We provide a workplace pension scheme of 7%, colleagues are not required to pay a contribution.</w:t>
      </w:r>
    </w:p>
    <w:p w14:paraId="70EE44F8" w14:textId="593DC8D6" w:rsidR="000A0B55" w:rsidRPr="000A0B55" w:rsidRDefault="000A0B55" w:rsidP="000A0B55">
      <w:pPr>
        <w:pStyle w:val="Heading3"/>
        <w:rPr>
          <w:color w:val="ADADAD" w:themeColor="background2" w:themeShade="BF"/>
        </w:rPr>
      </w:pPr>
      <w:bookmarkStart w:id="10" w:name="_Toc178164317"/>
      <w:r w:rsidRPr="000A0B55">
        <w:rPr>
          <w:color w:val="ADADAD" w:themeColor="background2" w:themeShade="BF"/>
        </w:rPr>
        <w:t>Free On-Site Tea and Coffee</w:t>
      </w:r>
      <w:bookmarkEnd w:id="10"/>
    </w:p>
    <w:p w14:paraId="0D3B38E3" w14:textId="178689D9" w:rsidR="000A0B55" w:rsidRDefault="000A0B55" w:rsidP="000A0B55">
      <w:r>
        <w:t xml:space="preserve">A happy workplace environment </w:t>
      </w:r>
      <w:r w:rsidR="187E68D6">
        <w:t>is not</w:t>
      </w:r>
      <w:r w:rsidR="00BA7714">
        <w:t xml:space="preserve"> complete without</w:t>
      </w:r>
      <w:r>
        <w:t xml:space="preserve"> a </w:t>
      </w:r>
      <w:r w:rsidR="00BA7714">
        <w:t>hot</w:t>
      </w:r>
      <w:r>
        <w:t xml:space="preserve"> cup of tea and friendly chat which is why BLC provides free fairtrade tea and coffee</w:t>
      </w:r>
      <w:r w:rsidR="00BA7714">
        <w:t xml:space="preserve"> </w:t>
      </w:r>
      <w:r>
        <w:t xml:space="preserve">for all employees (and </w:t>
      </w:r>
      <w:r w:rsidR="00734C97">
        <w:t>sometimes</w:t>
      </w:r>
      <w:r>
        <w:t xml:space="preserve"> sweet treats too!) Colleagues often find a good range of snacks available at staff meetings and colleague ‘bake-offs’</w:t>
      </w:r>
      <w:r w:rsidR="00BA7714">
        <w:t xml:space="preserve"> are encouraged!</w:t>
      </w:r>
    </w:p>
    <w:p w14:paraId="1A338701" w14:textId="6DC4B20E" w:rsidR="00BA7714" w:rsidRDefault="00BA7714" w:rsidP="00BA7714">
      <w:pPr>
        <w:pStyle w:val="Heading3"/>
        <w:rPr>
          <w:color w:val="ADADAD" w:themeColor="background2" w:themeShade="BF"/>
        </w:rPr>
      </w:pPr>
      <w:bookmarkStart w:id="11" w:name="_Toc178164318"/>
      <w:r>
        <w:rPr>
          <w:color w:val="ADADAD" w:themeColor="background2" w:themeShade="BF"/>
        </w:rPr>
        <w:t xml:space="preserve">On-Site </w:t>
      </w:r>
      <w:r w:rsidRPr="00BA7714">
        <w:rPr>
          <w:color w:val="ADADAD" w:themeColor="background2" w:themeShade="BF"/>
        </w:rPr>
        <w:t>Parking</w:t>
      </w:r>
      <w:bookmarkEnd w:id="11"/>
    </w:p>
    <w:p w14:paraId="660D8BAE" w14:textId="44B30AF5" w:rsidR="00BA7714" w:rsidRDefault="00BA7714" w:rsidP="00BA7714">
      <w:r>
        <w:t>Whilst BLC strongly encourages use of ecofriendly transport, there are some limited bookable on-site car parking spaces for when they are required by colleagues.</w:t>
      </w:r>
    </w:p>
    <w:p w14:paraId="6AFDDBA0" w14:textId="22D8757C" w:rsidR="00BA7714" w:rsidRPr="00BA7714" w:rsidRDefault="00BA7714" w:rsidP="007606EC">
      <w:pPr>
        <w:pStyle w:val="Heading3"/>
        <w:rPr>
          <w:color w:val="ADADAD" w:themeColor="background2" w:themeShade="BF"/>
        </w:rPr>
      </w:pPr>
      <w:bookmarkStart w:id="12" w:name="_Toc178164319"/>
      <w:r w:rsidRPr="007606EC">
        <w:rPr>
          <w:color w:val="ADADAD" w:themeColor="background2" w:themeShade="BF"/>
        </w:rPr>
        <w:t>Discretionary</w:t>
      </w:r>
      <w:r w:rsidRPr="00BA7714">
        <w:rPr>
          <w:color w:val="ADADAD" w:themeColor="background2" w:themeShade="BF"/>
        </w:rPr>
        <w:t xml:space="preserve"> </w:t>
      </w:r>
      <w:r>
        <w:rPr>
          <w:color w:val="ADADAD" w:themeColor="background2" w:themeShade="BF"/>
        </w:rPr>
        <w:t>Payments</w:t>
      </w:r>
      <w:bookmarkEnd w:id="12"/>
    </w:p>
    <w:p w14:paraId="6085909C" w14:textId="744A2A71" w:rsidR="00BA7714" w:rsidRDefault="00BA7714" w:rsidP="00BA7714">
      <w:r>
        <w:t>Whilst this cannot be guaranteed at any time, depending on the financial position, BLC may pay discretionary one-off payments as a way of thanking colleagues for their contribution.</w:t>
      </w:r>
    </w:p>
    <w:p w14:paraId="3746F767" w14:textId="77777777" w:rsidR="00D6227D" w:rsidRPr="00D6227D" w:rsidRDefault="00D6227D" w:rsidP="00D6227D">
      <w:pPr>
        <w:pStyle w:val="Heading3"/>
        <w:rPr>
          <w:color w:val="ADADAD" w:themeColor="background2" w:themeShade="BF"/>
        </w:rPr>
      </w:pPr>
      <w:r w:rsidRPr="00D6227D">
        <w:rPr>
          <w:color w:val="ADADAD" w:themeColor="background2" w:themeShade="BF"/>
        </w:rPr>
        <w:t>Annual Review</w:t>
      </w:r>
    </w:p>
    <w:p w14:paraId="06A73F7E" w14:textId="500389B6" w:rsidR="002011B0" w:rsidRPr="00667E57" w:rsidRDefault="00667E57" w:rsidP="00BA7714">
      <w:r w:rsidRPr="00667E57">
        <w:t>Salaries are reviewed annually</w:t>
      </w:r>
      <w:r w:rsidR="00E65627">
        <w:t xml:space="preserve"> and </w:t>
      </w:r>
      <w:r w:rsidR="003A2196">
        <w:t>cost-of-living increases in line with inflation may be applied each year depending on financial position of the charity.</w:t>
      </w:r>
    </w:p>
    <w:p w14:paraId="42E2481F" w14:textId="69AA662F" w:rsidR="00BA7714" w:rsidRPr="00BA7714" w:rsidRDefault="00BA7714" w:rsidP="00BA7714">
      <w:pPr>
        <w:pStyle w:val="Heading3"/>
        <w:rPr>
          <w:color w:val="ADADAD" w:themeColor="background2" w:themeShade="BF"/>
        </w:rPr>
      </w:pPr>
      <w:bookmarkStart w:id="13" w:name="_Toc178164320"/>
      <w:r w:rsidRPr="00BA7714">
        <w:rPr>
          <w:color w:val="ADADAD" w:themeColor="background2" w:themeShade="BF"/>
        </w:rPr>
        <w:t>Pay Progression</w:t>
      </w:r>
      <w:bookmarkEnd w:id="13"/>
    </w:p>
    <w:p w14:paraId="4916CA35" w14:textId="4091479D" w:rsidR="00BA7714" w:rsidRPr="00BA7714" w:rsidRDefault="00BA7714" w:rsidP="00BA7714">
      <w:r>
        <w:t xml:space="preserve">BLC has a clear pay progression policy to support </w:t>
      </w:r>
      <w:r w:rsidR="1239F722">
        <w:t>colleagues'</w:t>
      </w:r>
      <w:r>
        <w:t xml:space="preserve"> development and to recognise when individuals are taking on extra responsibility to ensure everyone is compensated fairly.</w:t>
      </w:r>
    </w:p>
    <w:p w14:paraId="259E3A71" w14:textId="77777777" w:rsidR="00F40039" w:rsidRDefault="00F40039" w:rsidP="00BA7714">
      <w:pPr>
        <w:pStyle w:val="Heading2"/>
      </w:pPr>
      <w:bookmarkStart w:id="14" w:name="_Toc178164321"/>
    </w:p>
    <w:p w14:paraId="5BB519A6" w14:textId="18739C85" w:rsidR="00BA7714" w:rsidRPr="000A0B55" w:rsidRDefault="00BA7714" w:rsidP="00BA7714">
      <w:pPr>
        <w:pStyle w:val="Heading2"/>
      </w:pPr>
      <w:r>
        <w:t>Health and Wellbeing</w:t>
      </w:r>
      <w:bookmarkEnd w:id="14"/>
      <w:r>
        <w:t xml:space="preserve"> </w:t>
      </w:r>
    </w:p>
    <w:p w14:paraId="02F453BB" w14:textId="4526E2BD" w:rsidR="000A0B55" w:rsidRDefault="00BA7714" w:rsidP="00BA7714">
      <w:pPr>
        <w:pStyle w:val="Heading3"/>
        <w:rPr>
          <w:color w:val="ADADAD" w:themeColor="background2" w:themeShade="BF"/>
        </w:rPr>
      </w:pPr>
      <w:bookmarkStart w:id="15" w:name="_Toc178164322"/>
      <w:r w:rsidRPr="00BA7714">
        <w:rPr>
          <w:color w:val="ADADAD" w:themeColor="background2" w:themeShade="BF"/>
        </w:rPr>
        <w:t>EAP</w:t>
      </w:r>
      <w:bookmarkEnd w:id="15"/>
    </w:p>
    <w:p w14:paraId="2E65DE7F" w14:textId="173C8531" w:rsidR="00BA7714" w:rsidRDefault="00BA7714" w:rsidP="00BA7714">
      <w:r>
        <w:t>The Employee Assistance Programme offers a 24/7 confidential helpline run by experienced counsellors</w:t>
      </w:r>
      <w:r w:rsidR="009E0C8B">
        <w:t>,</w:t>
      </w:r>
      <w:r>
        <w:t xml:space="preserve"> legal and financial experts for colleagues to get advice. </w:t>
      </w:r>
      <w:r w:rsidR="009E0C8B">
        <w:t>They can offer structured counselling sessions as well as lots of self-help resources.</w:t>
      </w:r>
    </w:p>
    <w:p w14:paraId="156302B0" w14:textId="0ADD05D2" w:rsidR="009E0C8B" w:rsidRPr="009E0C8B" w:rsidRDefault="009E0C8B" w:rsidP="009E0C8B">
      <w:pPr>
        <w:pStyle w:val="Heading3"/>
        <w:rPr>
          <w:color w:val="ADADAD" w:themeColor="background2" w:themeShade="BF"/>
        </w:rPr>
      </w:pPr>
      <w:bookmarkStart w:id="16" w:name="_Toc178164323"/>
      <w:r w:rsidRPr="009E0C8B">
        <w:rPr>
          <w:color w:val="ADADAD" w:themeColor="background2" w:themeShade="BF"/>
        </w:rPr>
        <w:t>Clinical Supervision</w:t>
      </w:r>
      <w:bookmarkEnd w:id="16"/>
      <w:r w:rsidR="004A3653">
        <w:rPr>
          <w:color w:val="ADADAD" w:themeColor="background2" w:themeShade="BF"/>
        </w:rPr>
        <w:t xml:space="preserve"> </w:t>
      </w:r>
    </w:p>
    <w:p w14:paraId="1F8BB041" w14:textId="12811FE7" w:rsidR="009E0C8B" w:rsidRDefault="009E0C8B" w:rsidP="00BA7714">
      <w:r>
        <w:t>Case working colleagues are invited to attend</w:t>
      </w:r>
      <w:r w:rsidR="158C0777">
        <w:t xml:space="preserve"> monthly</w:t>
      </w:r>
      <w:r>
        <w:t xml:space="preserve"> group Clinical Supervision sessions with an experienced psychotherapist </w:t>
      </w:r>
      <w:r w:rsidR="004A3653">
        <w:t>to reflect on their practice, the emotional impact of their work, and to allow for identifying areas of modification or learning.</w:t>
      </w:r>
    </w:p>
    <w:p w14:paraId="6C5A6BD8" w14:textId="17043259" w:rsidR="00A0132B" w:rsidRPr="004938A1" w:rsidRDefault="00A0132B" w:rsidP="004938A1">
      <w:pPr>
        <w:pStyle w:val="Heading3"/>
        <w:rPr>
          <w:color w:val="ADADAD" w:themeColor="background2" w:themeShade="BF"/>
        </w:rPr>
      </w:pPr>
      <w:bookmarkStart w:id="17" w:name="_Toc178164324"/>
      <w:r w:rsidRPr="004938A1">
        <w:rPr>
          <w:color w:val="ADADAD" w:themeColor="background2" w:themeShade="BF"/>
        </w:rPr>
        <w:lastRenderedPageBreak/>
        <w:t>Regular Line Manager Support</w:t>
      </w:r>
      <w:bookmarkEnd w:id="17"/>
    </w:p>
    <w:p w14:paraId="4BD8AA9A" w14:textId="36D9A5AD" w:rsidR="00A0132B" w:rsidRDefault="00EA57BA" w:rsidP="00BA7714">
      <w:r>
        <w:t xml:space="preserve">All colleagues have regular time with their supervisor or line manager to discuss their work, </w:t>
      </w:r>
      <w:r w:rsidR="004938A1">
        <w:t xml:space="preserve">personal </w:t>
      </w:r>
      <w:r w:rsidR="17AC1578">
        <w:t>development,</w:t>
      </w:r>
      <w:r w:rsidR="004938A1">
        <w:t xml:space="preserve"> and business development opportunities.</w:t>
      </w:r>
    </w:p>
    <w:p w14:paraId="6BB6724F" w14:textId="7ADF8B28" w:rsidR="004938A1" w:rsidRDefault="004938A1" w:rsidP="004938A1">
      <w:pPr>
        <w:pStyle w:val="Heading3"/>
        <w:rPr>
          <w:color w:val="ADADAD" w:themeColor="background2" w:themeShade="BF"/>
        </w:rPr>
      </w:pPr>
      <w:bookmarkStart w:id="18" w:name="_Toc178164325"/>
      <w:r w:rsidRPr="004938A1">
        <w:rPr>
          <w:color w:val="ADADAD" w:themeColor="background2" w:themeShade="BF"/>
        </w:rPr>
        <w:t>Appraisals</w:t>
      </w:r>
      <w:bookmarkEnd w:id="18"/>
      <w:r w:rsidRPr="004938A1">
        <w:rPr>
          <w:color w:val="ADADAD" w:themeColor="background2" w:themeShade="BF"/>
        </w:rPr>
        <w:t xml:space="preserve"> </w:t>
      </w:r>
    </w:p>
    <w:p w14:paraId="1D581DF5" w14:textId="4D21671F" w:rsidR="0017718F" w:rsidRDefault="0017718F" w:rsidP="0017718F">
      <w:r>
        <w:t>Each year colleagues have the opportunity to reflect on personal performance and opportunity for growth and development. Colleagues are supported to set objectives and work towards throughout the year</w:t>
      </w:r>
      <w:r w:rsidR="008A3438">
        <w:t>.</w:t>
      </w:r>
    </w:p>
    <w:p w14:paraId="1ED815BF" w14:textId="6BA7DE9F" w:rsidR="00753A7F" w:rsidRPr="007849AB" w:rsidRDefault="00753A7F" w:rsidP="007849AB">
      <w:pPr>
        <w:pStyle w:val="Heading3"/>
        <w:rPr>
          <w:color w:val="ADADAD" w:themeColor="background2" w:themeShade="BF"/>
        </w:rPr>
      </w:pPr>
      <w:bookmarkStart w:id="19" w:name="_Toc178164326"/>
      <w:r w:rsidRPr="007849AB">
        <w:rPr>
          <w:color w:val="ADADAD" w:themeColor="background2" w:themeShade="BF"/>
        </w:rPr>
        <w:t>Mental Health First Aiders</w:t>
      </w:r>
      <w:bookmarkEnd w:id="19"/>
    </w:p>
    <w:p w14:paraId="06588D54" w14:textId="08733E05" w:rsidR="00753A7F" w:rsidRDefault="007849AB" w:rsidP="0017718F">
      <w:r>
        <w:t xml:space="preserve">Trained Mental Health First Aiders are available to provide support and signposting to colleagues experiencing poor mental health. They are vital in reducing stigma and promoting positive mental health in the workplace. </w:t>
      </w:r>
    </w:p>
    <w:p w14:paraId="6631F0B8" w14:textId="0DD6292D" w:rsidR="0070474A" w:rsidRDefault="0070474A" w:rsidP="0070474A">
      <w:pPr>
        <w:pStyle w:val="Heading3"/>
        <w:rPr>
          <w:color w:val="ADADAD" w:themeColor="background2" w:themeShade="BF"/>
        </w:rPr>
      </w:pPr>
      <w:bookmarkStart w:id="20" w:name="_Toc178164327"/>
      <w:r w:rsidRPr="0070474A">
        <w:rPr>
          <w:color w:val="ADADAD" w:themeColor="background2" w:themeShade="BF"/>
        </w:rPr>
        <w:t>Staff Away Days</w:t>
      </w:r>
      <w:bookmarkEnd w:id="20"/>
      <w:r w:rsidRPr="0070474A">
        <w:rPr>
          <w:color w:val="ADADAD" w:themeColor="background2" w:themeShade="BF"/>
        </w:rPr>
        <w:t xml:space="preserve"> </w:t>
      </w:r>
    </w:p>
    <w:p w14:paraId="1F2B7284" w14:textId="114865AD" w:rsidR="0070474A" w:rsidRDefault="0070474A" w:rsidP="0070474A">
      <w:r>
        <w:t xml:space="preserve">BLC recognises the importance </w:t>
      </w:r>
      <w:r w:rsidR="006B4DC2">
        <w:t xml:space="preserve">of providing opportunities for colleagues to get to know each other and have fun together outside of the </w:t>
      </w:r>
      <w:r w:rsidR="002D2A68">
        <w:t>office</w:t>
      </w:r>
      <w:r w:rsidR="006B4DC2">
        <w:t xml:space="preserve"> environment. That’s why </w:t>
      </w:r>
      <w:r w:rsidR="00E778EA">
        <w:t>staff away days are arranged annually (Escape Rooms, Afternoon Tea, Self Defence Class are some examples!)</w:t>
      </w:r>
    </w:p>
    <w:p w14:paraId="78E60FBA" w14:textId="5FA018BD" w:rsidR="00ED1008" w:rsidRPr="00B37695" w:rsidRDefault="00ED1008" w:rsidP="00B37695">
      <w:pPr>
        <w:pStyle w:val="Heading3"/>
        <w:rPr>
          <w:color w:val="ADADAD" w:themeColor="background2" w:themeShade="BF"/>
        </w:rPr>
      </w:pPr>
      <w:bookmarkStart w:id="21" w:name="_Toc178164328"/>
      <w:r w:rsidRPr="00B37695">
        <w:rPr>
          <w:color w:val="ADADAD" w:themeColor="background2" w:themeShade="BF"/>
        </w:rPr>
        <w:t>Ad Hoc Socials</w:t>
      </w:r>
    </w:p>
    <w:p w14:paraId="17D614E5" w14:textId="21D87219" w:rsidR="00F40039" w:rsidRDefault="00ED1008" w:rsidP="00161A55">
      <w:r w:rsidRPr="0010216F">
        <w:t xml:space="preserve">Regular team lunches and after work </w:t>
      </w:r>
      <w:r w:rsidR="00DE5075" w:rsidRPr="0010216F">
        <w:t>get-togethers are planned throughout the year to encourage staff to connect outside of the work environment</w:t>
      </w:r>
      <w:r w:rsidR="00B37695" w:rsidRPr="0010216F">
        <w:t>.</w:t>
      </w:r>
      <w:r w:rsidRPr="0010216F">
        <w:t xml:space="preserve"> </w:t>
      </w:r>
      <w:r w:rsidR="00884EF8">
        <w:t>A</w:t>
      </w:r>
      <w:r w:rsidR="00B37695" w:rsidRPr="0010216F">
        <w:t xml:space="preserve"> wide range of </w:t>
      </w:r>
      <w:r w:rsidR="00217428" w:rsidRPr="0010216F">
        <w:t xml:space="preserve">fun fundraising and awareness raising events </w:t>
      </w:r>
      <w:r w:rsidR="0010216F" w:rsidRPr="0010216F">
        <w:t>allow for relationship building with external agencies and partners (for example, Bristol Legal Walk and Dragon Boat Racing)</w:t>
      </w:r>
      <w:r w:rsidR="0073768F" w:rsidRPr="0010216F">
        <w:t xml:space="preserve"> </w:t>
      </w:r>
    </w:p>
    <w:p w14:paraId="25376D8C" w14:textId="4ECDE1EA" w:rsidR="00C94AFC" w:rsidRDefault="00C94AFC" w:rsidP="00C94AFC">
      <w:pPr>
        <w:pStyle w:val="Heading3"/>
        <w:rPr>
          <w:color w:val="ADADAD" w:themeColor="background2" w:themeShade="BF"/>
        </w:rPr>
      </w:pPr>
      <w:r w:rsidRPr="00C94AFC">
        <w:rPr>
          <w:color w:val="ADADAD" w:themeColor="background2" w:themeShade="BF"/>
        </w:rPr>
        <w:t>Christmas Social</w:t>
      </w:r>
    </w:p>
    <w:p w14:paraId="265F4621" w14:textId="4E17AC23" w:rsidR="00C94AFC" w:rsidRPr="00C94AFC" w:rsidRDefault="00C94AFC" w:rsidP="00C94AFC">
      <w:r>
        <w:t xml:space="preserve">Every year colleagues are invited to a Christmas meal </w:t>
      </w:r>
      <w:r w:rsidR="00161A55">
        <w:t>in December to celebrate with colleagues, often fancy dress is suggested although never mandatory!</w:t>
      </w:r>
    </w:p>
    <w:p w14:paraId="0F2FFBC9" w14:textId="2D5716DF" w:rsidR="00380D91" w:rsidRDefault="00380D91" w:rsidP="008435C2">
      <w:pPr>
        <w:pStyle w:val="Heading2"/>
      </w:pPr>
    </w:p>
    <w:p w14:paraId="0F179DEC" w14:textId="6345FE0C" w:rsidR="008435C2" w:rsidRDefault="008435C2" w:rsidP="008435C2">
      <w:pPr>
        <w:pStyle w:val="Heading2"/>
      </w:pPr>
      <w:r>
        <w:t>Development</w:t>
      </w:r>
      <w:bookmarkEnd w:id="21"/>
    </w:p>
    <w:p w14:paraId="47D38A3E" w14:textId="1780EBBE" w:rsidR="008435C2" w:rsidRDefault="008435C2" w:rsidP="008435C2">
      <w:pPr>
        <w:pStyle w:val="Heading3"/>
        <w:rPr>
          <w:color w:val="ADADAD" w:themeColor="background2" w:themeShade="BF"/>
        </w:rPr>
      </w:pPr>
      <w:bookmarkStart w:id="22" w:name="_Toc178164329"/>
      <w:r w:rsidRPr="008435C2">
        <w:rPr>
          <w:color w:val="ADADAD" w:themeColor="background2" w:themeShade="BF"/>
        </w:rPr>
        <w:t>Study Leave</w:t>
      </w:r>
      <w:bookmarkEnd w:id="22"/>
    </w:p>
    <w:p w14:paraId="44C6A750" w14:textId="6EB93DAD" w:rsidR="008435C2" w:rsidRDefault="008435C2" w:rsidP="008435C2">
      <w:r>
        <w:t>BLC is committed to staff development and</w:t>
      </w:r>
      <w:r w:rsidR="002110E7">
        <w:t xml:space="preserve"> can </w:t>
      </w:r>
      <w:r>
        <w:t>offer</w:t>
      </w:r>
      <w:r w:rsidR="002110E7">
        <w:t xml:space="preserve"> (paid and unpaid)</w:t>
      </w:r>
      <w:r>
        <w:t xml:space="preserve"> study leave to </w:t>
      </w:r>
      <w:r w:rsidR="002110E7">
        <w:t xml:space="preserve">eligible </w:t>
      </w:r>
      <w:r>
        <w:t xml:space="preserve">colleagues wanting to </w:t>
      </w:r>
      <w:r w:rsidR="002110E7" w:rsidRPr="00272FE7">
        <w:t>progress</w:t>
      </w:r>
      <w:r w:rsidRPr="00272FE7">
        <w:t xml:space="preserve"> </w:t>
      </w:r>
      <w:r w:rsidR="005F46A7" w:rsidRPr="00272FE7">
        <w:t xml:space="preserve">their </w:t>
      </w:r>
      <w:r w:rsidR="002110E7" w:rsidRPr="00272FE7">
        <w:t>career</w:t>
      </w:r>
      <w:r w:rsidR="005F46A7" w:rsidRPr="00272FE7">
        <w:t xml:space="preserve"> with the Law Centre.</w:t>
      </w:r>
    </w:p>
    <w:p w14:paraId="476E29CD" w14:textId="08991170" w:rsidR="00D93BF3" w:rsidRPr="002437C0" w:rsidRDefault="00D93BF3" w:rsidP="002437C0">
      <w:pPr>
        <w:pStyle w:val="Heading3"/>
        <w:rPr>
          <w:color w:val="ADADAD" w:themeColor="background2" w:themeShade="BF"/>
        </w:rPr>
      </w:pPr>
      <w:bookmarkStart w:id="23" w:name="_Toc178164330"/>
      <w:r w:rsidRPr="002437C0">
        <w:rPr>
          <w:color w:val="ADADAD" w:themeColor="background2" w:themeShade="BF"/>
        </w:rPr>
        <w:t>Learning and Development</w:t>
      </w:r>
      <w:bookmarkEnd w:id="23"/>
    </w:p>
    <w:p w14:paraId="47D24C13" w14:textId="541EB2C9" w:rsidR="00D93BF3" w:rsidRDefault="006128CB" w:rsidP="008435C2">
      <w:r>
        <w:t>Learning and development is a pivotal part of supporting colleagues to grow and develop</w:t>
      </w:r>
      <w:r w:rsidR="00EC25F0">
        <w:t>.</w:t>
      </w:r>
      <w:r>
        <w:t xml:space="preserve"> BLC </w:t>
      </w:r>
      <w:r w:rsidR="00D93BF3">
        <w:t xml:space="preserve">offers a variety of options for learning and development, from formal training courses to </w:t>
      </w:r>
      <w:r>
        <w:t xml:space="preserve">shadowing colleagues or attending </w:t>
      </w:r>
      <w:r w:rsidR="002437C0">
        <w:t xml:space="preserve">partner meetings and other informal learning opportunities. </w:t>
      </w:r>
    </w:p>
    <w:p w14:paraId="3BDE66F4" w14:textId="77777777" w:rsidR="00027DAD" w:rsidRPr="00027DAD" w:rsidRDefault="00027DAD" w:rsidP="00027DAD">
      <w:pPr>
        <w:pStyle w:val="Heading3"/>
        <w:rPr>
          <w:color w:val="ADADAD" w:themeColor="background2" w:themeShade="BF"/>
        </w:rPr>
      </w:pPr>
      <w:r w:rsidRPr="00027DAD">
        <w:rPr>
          <w:color w:val="ADADAD" w:themeColor="background2" w:themeShade="BF"/>
        </w:rPr>
        <w:lastRenderedPageBreak/>
        <w:t xml:space="preserve">Wide Ranging Partnerships </w:t>
      </w:r>
    </w:p>
    <w:p w14:paraId="72C5A95A" w14:textId="6C03A8B7" w:rsidR="00380D91" w:rsidRDefault="00027DAD" w:rsidP="008435C2">
      <w:r w:rsidRPr="00027DAD">
        <w:t xml:space="preserve">BLC prides itself on having a wide range of relationships and networks with </w:t>
      </w:r>
      <w:r w:rsidR="007D2591">
        <w:t xml:space="preserve">advice agencies and charities </w:t>
      </w:r>
      <w:r w:rsidRPr="00027DAD">
        <w:t xml:space="preserve">across Bristol and the surrounding area, adding to the potential learning and networking opportunities for our colleagues. </w:t>
      </w:r>
    </w:p>
    <w:p w14:paraId="760B7B4B" w14:textId="77777777" w:rsidR="00EC25F0" w:rsidRPr="008435C2" w:rsidRDefault="00EC25F0" w:rsidP="008435C2"/>
    <w:sectPr w:rsidR="00EC25F0" w:rsidRPr="008435C2" w:rsidSect="00380D91">
      <w:headerReference w:type="default" r:id="rId8"/>
      <w:footerReference w:type="default" r:id="rId9"/>
      <w:pgSz w:w="11906" w:h="16838"/>
      <w:pgMar w:top="184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5B4164" w14:textId="77777777" w:rsidR="00DF131A" w:rsidRDefault="00DF131A" w:rsidP="007C31A2">
      <w:pPr>
        <w:spacing w:after="0" w:line="240" w:lineRule="auto"/>
      </w:pPr>
      <w:r>
        <w:separator/>
      </w:r>
    </w:p>
  </w:endnote>
  <w:endnote w:type="continuationSeparator" w:id="0">
    <w:p w14:paraId="561DF8B4" w14:textId="77777777" w:rsidR="00DF131A" w:rsidRDefault="00DF131A" w:rsidP="007C31A2">
      <w:pPr>
        <w:spacing w:after="0" w:line="240" w:lineRule="auto"/>
      </w:pPr>
      <w:r>
        <w:continuationSeparator/>
      </w:r>
    </w:p>
  </w:endnote>
  <w:endnote w:type="continuationNotice" w:id="1">
    <w:p w14:paraId="29ACAF05" w14:textId="77777777" w:rsidR="007009AB" w:rsidRDefault="007009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BDEA7" w14:textId="6ECCD07B" w:rsidR="007C31A2" w:rsidRPr="007C31A2" w:rsidRDefault="007C31A2" w:rsidP="007C31A2">
    <w:r w:rsidRPr="007C31A2">
      <w:t>Updated</w:t>
    </w:r>
    <w:r w:rsidR="00734C97">
      <w:t>:</w:t>
    </w:r>
    <w:r w:rsidRPr="007C31A2">
      <w:t xml:space="preserve"> September 2024</w:t>
    </w:r>
  </w:p>
  <w:p w14:paraId="2B905F14" w14:textId="77777777" w:rsidR="007C31A2" w:rsidRDefault="007C3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68998" w14:textId="77777777" w:rsidR="00DF131A" w:rsidRDefault="00DF131A" w:rsidP="007C31A2">
      <w:pPr>
        <w:spacing w:after="0" w:line="240" w:lineRule="auto"/>
      </w:pPr>
      <w:r>
        <w:separator/>
      </w:r>
    </w:p>
  </w:footnote>
  <w:footnote w:type="continuationSeparator" w:id="0">
    <w:p w14:paraId="2B540948" w14:textId="77777777" w:rsidR="00DF131A" w:rsidRDefault="00DF131A" w:rsidP="007C31A2">
      <w:pPr>
        <w:spacing w:after="0" w:line="240" w:lineRule="auto"/>
      </w:pPr>
      <w:r>
        <w:continuationSeparator/>
      </w:r>
    </w:p>
  </w:footnote>
  <w:footnote w:type="continuationNotice" w:id="1">
    <w:p w14:paraId="3BA6CFCB" w14:textId="77777777" w:rsidR="007009AB" w:rsidRDefault="007009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46562" w14:textId="7CF4EEFB" w:rsidR="007C31A2" w:rsidRDefault="007C31A2">
    <w:pPr>
      <w:pStyle w:val="Header"/>
    </w:pPr>
    <w:r>
      <w:rPr>
        <w:b/>
        <w:bCs/>
        <w:noProof/>
        <w:sz w:val="32"/>
        <w:szCs w:val="32"/>
      </w:rPr>
      <w:drawing>
        <wp:anchor distT="0" distB="0" distL="114300" distR="114300" simplePos="0" relativeHeight="251658240" behindDoc="0" locked="0" layoutInCell="1" allowOverlap="1" wp14:anchorId="5B80FF87" wp14:editId="1896D479">
          <wp:simplePos x="0" y="0"/>
          <wp:positionH relativeFrom="margin">
            <wp:align>center</wp:align>
          </wp:positionH>
          <wp:positionV relativeFrom="paragraph">
            <wp:posOffset>-268605</wp:posOffset>
          </wp:positionV>
          <wp:extent cx="1257300" cy="584645"/>
          <wp:effectExtent l="0" t="0" r="0" b="6350"/>
          <wp:wrapNone/>
          <wp:docPr id="1552875548"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565667"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57300" cy="5846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F06"/>
    <w:rsid w:val="00005A90"/>
    <w:rsid w:val="00027DAD"/>
    <w:rsid w:val="00051028"/>
    <w:rsid w:val="00095224"/>
    <w:rsid w:val="000A0B55"/>
    <w:rsid w:val="000F69E5"/>
    <w:rsid w:val="0010216F"/>
    <w:rsid w:val="00161A55"/>
    <w:rsid w:val="0017718F"/>
    <w:rsid w:val="002011B0"/>
    <w:rsid w:val="00202A35"/>
    <w:rsid w:val="002110E7"/>
    <w:rsid w:val="00217428"/>
    <w:rsid w:val="002437C0"/>
    <w:rsid w:val="00249F8A"/>
    <w:rsid w:val="00272FE7"/>
    <w:rsid w:val="002D2A68"/>
    <w:rsid w:val="00367627"/>
    <w:rsid w:val="00380D91"/>
    <w:rsid w:val="003A2196"/>
    <w:rsid w:val="003A23B7"/>
    <w:rsid w:val="00407C9B"/>
    <w:rsid w:val="00432FC3"/>
    <w:rsid w:val="00440345"/>
    <w:rsid w:val="00467F76"/>
    <w:rsid w:val="004938A1"/>
    <w:rsid w:val="004A3653"/>
    <w:rsid w:val="004B4436"/>
    <w:rsid w:val="004B4B24"/>
    <w:rsid w:val="004C016D"/>
    <w:rsid w:val="005265DE"/>
    <w:rsid w:val="00556A19"/>
    <w:rsid w:val="00564A41"/>
    <w:rsid w:val="005F46A7"/>
    <w:rsid w:val="00603A5E"/>
    <w:rsid w:val="006128CB"/>
    <w:rsid w:val="00647E6A"/>
    <w:rsid w:val="0065477F"/>
    <w:rsid w:val="00667E57"/>
    <w:rsid w:val="006B4DC2"/>
    <w:rsid w:val="006C2791"/>
    <w:rsid w:val="006C7FC5"/>
    <w:rsid w:val="007009AB"/>
    <w:rsid w:val="0070474A"/>
    <w:rsid w:val="00706917"/>
    <w:rsid w:val="00734C97"/>
    <w:rsid w:val="0073768F"/>
    <w:rsid w:val="0074728F"/>
    <w:rsid w:val="00753A7F"/>
    <w:rsid w:val="007606EC"/>
    <w:rsid w:val="007679A8"/>
    <w:rsid w:val="007849AB"/>
    <w:rsid w:val="007C31A2"/>
    <w:rsid w:val="007D2591"/>
    <w:rsid w:val="007E7723"/>
    <w:rsid w:val="008435C2"/>
    <w:rsid w:val="00884EF8"/>
    <w:rsid w:val="008A3438"/>
    <w:rsid w:val="009B12F2"/>
    <w:rsid w:val="009E0C8B"/>
    <w:rsid w:val="00A0132B"/>
    <w:rsid w:val="00B0258E"/>
    <w:rsid w:val="00B23E4C"/>
    <w:rsid w:val="00B37695"/>
    <w:rsid w:val="00BA7714"/>
    <w:rsid w:val="00BF6F06"/>
    <w:rsid w:val="00C94AFC"/>
    <w:rsid w:val="00D6227D"/>
    <w:rsid w:val="00D93BF3"/>
    <w:rsid w:val="00DA65E8"/>
    <w:rsid w:val="00DE5075"/>
    <w:rsid w:val="00DF131A"/>
    <w:rsid w:val="00E00D78"/>
    <w:rsid w:val="00E3435F"/>
    <w:rsid w:val="00E65627"/>
    <w:rsid w:val="00E778EA"/>
    <w:rsid w:val="00EA57BA"/>
    <w:rsid w:val="00EC223C"/>
    <w:rsid w:val="00EC25F0"/>
    <w:rsid w:val="00ED1008"/>
    <w:rsid w:val="00F40039"/>
    <w:rsid w:val="00F63AA0"/>
    <w:rsid w:val="06B521C7"/>
    <w:rsid w:val="0C68DABC"/>
    <w:rsid w:val="0D05BBAF"/>
    <w:rsid w:val="1239F722"/>
    <w:rsid w:val="158C0777"/>
    <w:rsid w:val="17AC1578"/>
    <w:rsid w:val="187E68D6"/>
    <w:rsid w:val="21585A01"/>
    <w:rsid w:val="2A32F850"/>
    <w:rsid w:val="2BC9C0AB"/>
    <w:rsid w:val="2E747D9A"/>
    <w:rsid w:val="338837CC"/>
    <w:rsid w:val="3AB72016"/>
    <w:rsid w:val="3B6531BC"/>
    <w:rsid w:val="3ECFB8FE"/>
    <w:rsid w:val="5B0ED09C"/>
    <w:rsid w:val="5F9A2159"/>
    <w:rsid w:val="5FCEF36F"/>
    <w:rsid w:val="6E2C264F"/>
    <w:rsid w:val="7810525F"/>
    <w:rsid w:val="79CDDF18"/>
    <w:rsid w:val="79F8B2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A41C5"/>
  <w15:chartTrackingRefBased/>
  <w15:docId w15:val="{DE8C17D3-B27F-4A05-A874-9FBA29F4E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F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F6F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F6F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F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F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F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F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F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F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F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F6F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F6F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F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F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F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F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F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F06"/>
    <w:rPr>
      <w:rFonts w:eastAsiaTheme="majorEastAsia" w:cstheme="majorBidi"/>
      <w:color w:val="272727" w:themeColor="text1" w:themeTint="D8"/>
    </w:rPr>
  </w:style>
  <w:style w:type="paragraph" w:styleId="Title">
    <w:name w:val="Title"/>
    <w:basedOn w:val="Normal"/>
    <w:next w:val="Normal"/>
    <w:link w:val="TitleChar"/>
    <w:uiPriority w:val="10"/>
    <w:qFormat/>
    <w:rsid w:val="00BF6F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F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F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F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F06"/>
    <w:pPr>
      <w:spacing w:before="160"/>
      <w:jc w:val="center"/>
    </w:pPr>
    <w:rPr>
      <w:i/>
      <w:iCs/>
      <w:color w:val="404040" w:themeColor="text1" w:themeTint="BF"/>
    </w:rPr>
  </w:style>
  <w:style w:type="character" w:customStyle="1" w:styleId="QuoteChar">
    <w:name w:val="Quote Char"/>
    <w:basedOn w:val="DefaultParagraphFont"/>
    <w:link w:val="Quote"/>
    <w:uiPriority w:val="29"/>
    <w:rsid w:val="00BF6F06"/>
    <w:rPr>
      <w:i/>
      <w:iCs/>
      <w:color w:val="404040" w:themeColor="text1" w:themeTint="BF"/>
    </w:rPr>
  </w:style>
  <w:style w:type="paragraph" w:styleId="ListParagraph">
    <w:name w:val="List Paragraph"/>
    <w:basedOn w:val="Normal"/>
    <w:uiPriority w:val="34"/>
    <w:qFormat/>
    <w:rsid w:val="00BF6F06"/>
    <w:pPr>
      <w:ind w:left="720"/>
      <w:contextualSpacing/>
    </w:pPr>
  </w:style>
  <w:style w:type="character" w:styleId="IntenseEmphasis">
    <w:name w:val="Intense Emphasis"/>
    <w:basedOn w:val="DefaultParagraphFont"/>
    <w:uiPriority w:val="21"/>
    <w:qFormat/>
    <w:rsid w:val="00BF6F06"/>
    <w:rPr>
      <w:i/>
      <w:iCs/>
      <w:color w:val="0F4761" w:themeColor="accent1" w:themeShade="BF"/>
    </w:rPr>
  </w:style>
  <w:style w:type="paragraph" w:styleId="IntenseQuote">
    <w:name w:val="Intense Quote"/>
    <w:basedOn w:val="Normal"/>
    <w:next w:val="Normal"/>
    <w:link w:val="IntenseQuoteChar"/>
    <w:uiPriority w:val="30"/>
    <w:qFormat/>
    <w:rsid w:val="00BF6F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F06"/>
    <w:rPr>
      <w:i/>
      <w:iCs/>
      <w:color w:val="0F4761" w:themeColor="accent1" w:themeShade="BF"/>
    </w:rPr>
  </w:style>
  <w:style w:type="character" w:styleId="IntenseReference">
    <w:name w:val="Intense Reference"/>
    <w:basedOn w:val="DefaultParagraphFont"/>
    <w:uiPriority w:val="32"/>
    <w:qFormat/>
    <w:rsid w:val="00BF6F06"/>
    <w:rPr>
      <w:b/>
      <w:bCs/>
      <w:smallCaps/>
      <w:color w:val="0F4761" w:themeColor="accent1" w:themeShade="BF"/>
      <w:spacing w:val="5"/>
    </w:rPr>
  </w:style>
  <w:style w:type="paragraph" w:styleId="TOCHeading">
    <w:name w:val="TOC Heading"/>
    <w:basedOn w:val="Heading1"/>
    <w:next w:val="Normal"/>
    <w:uiPriority w:val="39"/>
    <w:unhideWhenUsed/>
    <w:qFormat/>
    <w:rsid w:val="00BF6F06"/>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BF6F06"/>
    <w:pPr>
      <w:spacing w:after="100"/>
    </w:pPr>
  </w:style>
  <w:style w:type="character" w:styleId="Hyperlink">
    <w:name w:val="Hyperlink"/>
    <w:basedOn w:val="DefaultParagraphFont"/>
    <w:uiPriority w:val="99"/>
    <w:unhideWhenUsed/>
    <w:rsid w:val="00BF6F06"/>
    <w:rPr>
      <w:color w:val="467886" w:themeColor="hyperlink"/>
      <w:u w:val="single"/>
    </w:rPr>
  </w:style>
  <w:style w:type="paragraph" w:styleId="TOC2">
    <w:name w:val="toc 2"/>
    <w:basedOn w:val="Normal"/>
    <w:next w:val="Normal"/>
    <w:autoRedefine/>
    <w:uiPriority w:val="39"/>
    <w:unhideWhenUsed/>
    <w:rsid w:val="00432FC3"/>
    <w:pPr>
      <w:spacing w:after="100"/>
      <w:ind w:left="220"/>
    </w:pPr>
  </w:style>
  <w:style w:type="paragraph" w:styleId="TOC3">
    <w:name w:val="toc 3"/>
    <w:basedOn w:val="Normal"/>
    <w:next w:val="Normal"/>
    <w:autoRedefine/>
    <w:uiPriority w:val="39"/>
    <w:unhideWhenUsed/>
    <w:rsid w:val="000A0B55"/>
    <w:pPr>
      <w:spacing w:after="100"/>
      <w:ind w:left="440"/>
    </w:pPr>
  </w:style>
  <w:style w:type="paragraph" w:styleId="Header">
    <w:name w:val="header"/>
    <w:basedOn w:val="Normal"/>
    <w:link w:val="HeaderChar"/>
    <w:uiPriority w:val="99"/>
    <w:unhideWhenUsed/>
    <w:rsid w:val="007C31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1A2"/>
  </w:style>
  <w:style w:type="paragraph" w:styleId="Footer">
    <w:name w:val="footer"/>
    <w:basedOn w:val="Normal"/>
    <w:link w:val="FooterChar"/>
    <w:uiPriority w:val="99"/>
    <w:unhideWhenUsed/>
    <w:rsid w:val="007C31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C08C2-0A99-48A6-B220-BCBCB57FB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1062</Words>
  <Characters>6054</Characters>
  <Application>Microsoft Office Word</Application>
  <DocSecurity>0</DocSecurity>
  <Lines>50</Lines>
  <Paragraphs>14</Paragraphs>
  <ScaleCrop>false</ScaleCrop>
  <Company/>
  <LinksUpToDate>false</LinksUpToDate>
  <CharactersWithSpaces>7102</CharactersWithSpaces>
  <SharedDoc>false</SharedDoc>
  <HLinks>
    <vt:vector size="144" baseType="variant">
      <vt:variant>
        <vt:i4>1441852</vt:i4>
      </vt:variant>
      <vt:variant>
        <vt:i4>71</vt:i4>
      </vt:variant>
      <vt:variant>
        <vt:i4>0</vt:i4>
      </vt:variant>
      <vt:variant>
        <vt:i4>5</vt:i4>
      </vt:variant>
      <vt:variant>
        <vt:lpwstr/>
      </vt:variant>
      <vt:variant>
        <vt:lpwstr>_Toc178164330</vt:lpwstr>
      </vt:variant>
      <vt:variant>
        <vt:i4>1507388</vt:i4>
      </vt:variant>
      <vt:variant>
        <vt:i4>68</vt:i4>
      </vt:variant>
      <vt:variant>
        <vt:i4>0</vt:i4>
      </vt:variant>
      <vt:variant>
        <vt:i4>5</vt:i4>
      </vt:variant>
      <vt:variant>
        <vt:lpwstr/>
      </vt:variant>
      <vt:variant>
        <vt:lpwstr>_Toc178164329</vt:lpwstr>
      </vt:variant>
      <vt:variant>
        <vt:i4>1507388</vt:i4>
      </vt:variant>
      <vt:variant>
        <vt:i4>65</vt:i4>
      </vt:variant>
      <vt:variant>
        <vt:i4>0</vt:i4>
      </vt:variant>
      <vt:variant>
        <vt:i4>5</vt:i4>
      </vt:variant>
      <vt:variant>
        <vt:lpwstr/>
      </vt:variant>
      <vt:variant>
        <vt:lpwstr>_Toc178164328</vt:lpwstr>
      </vt:variant>
      <vt:variant>
        <vt:i4>1507388</vt:i4>
      </vt:variant>
      <vt:variant>
        <vt:i4>62</vt:i4>
      </vt:variant>
      <vt:variant>
        <vt:i4>0</vt:i4>
      </vt:variant>
      <vt:variant>
        <vt:i4>5</vt:i4>
      </vt:variant>
      <vt:variant>
        <vt:lpwstr/>
      </vt:variant>
      <vt:variant>
        <vt:lpwstr>_Toc178164327</vt:lpwstr>
      </vt:variant>
      <vt:variant>
        <vt:i4>1507388</vt:i4>
      </vt:variant>
      <vt:variant>
        <vt:i4>59</vt:i4>
      </vt:variant>
      <vt:variant>
        <vt:i4>0</vt:i4>
      </vt:variant>
      <vt:variant>
        <vt:i4>5</vt:i4>
      </vt:variant>
      <vt:variant>
        <vt:lpwstr/>
      </vt:variant>
      <vt:variant>
        <vt:lpwstr>_Toc178164326</vt:lpwstr>
      </vt:variant>
      <vt:variant>
        <vt:i4>1507388</vt:i4>
      </vt:variant>
      <vt:variant>
        <vt:i4>56</vt:i4>
      </vt:variant>
      <vt:variant>
        <vt:i4>0</vt:i4>
      </vt:variant>
      <vt:variant>
        <vt:i4>5</vt:i4>
      </vt:variant>
      <vt:variant>
        <vt:lpwstr/>
      </vt:variant>
      <vt:variant>
        <vt:lpwstr>_Toc178164325</vt:lpwstr>
      </vt:variant>
      <vt:variant>
        <vt:i4>1507388</vt:i4>
      </vt:variant>
      <vt:variant>
        <vt:i4>53</vt:i4>
      </vt:variant>
      <vt:variant>
        <vt:i4>0</vt:i4>
      </vt:variant>
      <vt:variant>
        <vt:i4>5</vt:i4>
      </vt:variant>
      <vt:variant>
        <vt:lpwstr/>
      </vt:variant>
      <vt:variant>
        <vt:lpwstr>_Toc178164324</vt:lpwstr>
      </vt:variant>
      <vt:variant>
        <vt:i4>1507388</vt:i4>
      </vt:variant>
      <vt:variant>
        <vt:i4>50</vt:i4>
      </vt:variant>
      <vt:variant>
        <vt:i4>0</vt:i4>
      </vt:variant>
      <vt:variant>
        <vt:i4>5</vt:i4>
      </vt:variant>
      <vt:variant>
        <vt:lpwstr/>
      </vt:variant>
      <vt:variant>
        <vt:lpwstr>_Toc178164323</vt:lpwstr>
      </vt:variant>
      <vt:variant>
        <vt:i4>1507388</vt:i4>
      </vt:variant>
      <vt:variant>
        <vt:i4>47</vt:i4>
      </vt:variant>
      <vt:variant>
        <vt:i4>0</vt:i4>
      </vt:variant>
      <vt:variant>
        <vt:i4>5</vt:i4>
      </vt:variant>
      <vt:variant>
        <vt:lpwstr/>
      </vt:variant>
      <vt:variant>
        <vt:lpwstr>_Toc178164322</vt:lpwstr>
      </vt:variant>
      <vt:variant>
        <vt:i4>1507388</vt:i4>
      </vt:variant>
      <vt:variant>
        <vt:i4>44</vt:i4>
      </vt:variant>
      <vt:variant>
        <vt:i4>0</vt:i4>
      </vt:variant>
      <vt:variant>
        <vt:i4>5</vt:i4>
      </vt:variant>
      <vt:variant>
        <vt:lpwstr/>
      </vt:variant>
      <vt:variant>
        <vt:lpwstr>_Toc178164321</vt:lpwstr>
      </vt:variant>
      <vt:variant>
        <vt:i4>1507388</vt:i4>
      </vt:variant>
      <vt:variant>
        <vt:i4>41</vt:i4>
      </vt:variant>
      <vt:variant>
        <vt:i4>0</vt:i4>
      </vt:variant>
      <vt:variant>
        <vt:i4>5</vt:i4>
      </vt:variant>
      <vt:variant>
        <vt:lpwstr/>
      </vt:variant>
      <vt:variant>
        <vt:lpwstr>_Toc178164320</vt:lpwstr>
      </vt:variant>
      <vt:variant>
        <vt:i4>1310780</vt:i4>
      </vt:variant>
      <vt:variant>
        <vt:i4>38</vt:i4>
      </vt:variant>
      <vt:variant>
        <vt:i4>0</vt:i4>
      </vt:variant>
      <vt:variant>
        <vt:i4>5</vt:i4>
      </vt:variant>
      <vt:variant>
        <vt:lpwstr/>
      </vt:variant>
      <vt:variant>
        <vt:lpwstr>_Toc178164319</vt:lpwstr>
      </vt:variant>
      <vt:variant>
        <vt:i4>1310780</vt:i4>
      </vt:variant>
      <vt:variant>
        <vt:i4>35</vt:i4>
      </vt:variant>
      <vt:variant>
        <vt:i4>0</vt:i4>
      </vt:variant>
      <vt:variant>
        <vt:i4>5</vt:i4>
      </vt:variant>
      <vt:variant>
        <vt:lpwstr/>
      </vt:variant>
      <vt:variant>
        <vt:lpwstr>_Toc178164318</vt:lpwstr>
      </vt:variant>
      <vt:variant>
        <vt:i4>1310780</vt:i4>
      </vt:variant>
      <vt:variant>
        <vt:i4>32</vt:i4>
      </vt:variant>
      <vt:variant>
        <vt:i4>0</vt:i4>
      </vt:variant>
      <vt:variant>
        <vt:i4>5</vt:i4>
      </vt:variant>
      <vt:variant>
        <vt:lpwstr/>
      </vt:variant>
      <vt:variant>
        <vt:lpwstr>_Toc178164317</vt:lpwstr>
      </vt:variant>
      <vt:variant>
        <vt:i4>1310780</vt:i4>
      </vt:variant>
      <vt:variant>
        <vt:i4>29</vt:i4>
      </vt:variant>
      <vt:variant>
        <vt:i4>0</vt:i4>
      </vt:variant>
      <vt:variant>
        <vt:i4>5</vt:i4>
      </vt:variant>
      <vt:variant>
        <vt:lpwstr/>
      </vt:variant>
      <vt:variant>
        <vt:lpwstr>_Toc178164316</vt:lpwstr>
      </vt:variant>
      <vt:variant>
        <vt:i4>1310780</vt:i4>
      </vt:variant>
      <vt:variant>
        <vt:i4>26</vt:i4>
      </vt:variant>
      <vt:variant>
        <vt:i4>0</vt:i4>
      </vt:variant>
      <vt:variant>
        <vt:i4>5</vt:i4>
      </vt:variant>
      <vt:variant>
        <vt:lpwstr/>
      </vt:variant>
      <vt:variant>
        <vt:lpwstr>_Toc178164315</vt:lpwstr>
      </vt:variant>
      <vt:variant>
        <vt:i4>1310780</vt:i4>
      </vt:variant>
      <vt:variant>
        <vt:i4>23</vt:i4>
      </vt:variant>
      <vt:variant>
        <vt:i4>0</vt:i4>
      </vt:variant>
      <vt:variant>
        <vt:i4>5</vt:i4>
      </vt:variant>
      <vt:variant>
        <vt:lpwstr/>
      </vt:variant>
      <vt:variant>
        <vt:lpwstr>_Toc178164314</vt:lpwstr>
      </vt:variant>
      <vt:variant>
        <vt:i4>1310780</vt:i4>
      </vt:variant>
      <vt:variant>
        <vt:i4>20</vt:i4>
      </vt:variant>
      <vt:variant>
        <vt:i4>0</vt:i4>
      </vt:variant>
      <vt:variant>
        <vt:i4>5</vt:i4>
      </vt:variant>
      <vt:variant>
        <vt:lpwstr/>
      </vt:variant>
      <vt:variant>
        <vt:lpwstr>_Toc178164313</vt:lpwstr>
      </vt:variant>
      <vt:variant>
        <vt:i4>1310780</vt:i4>
      </vt:variant>
      <vt:variant>
        <vt:i4>17</vt:i4>
      </vt:variant>
      <vt:variant>
        <vt:i4>0</vt:i4>
      </vt:variant>
      <vt:variant>
        <vt:i4>5</vt:i4>
      </vt:variant>
      <vt:variant>
        <vt:lpwstr/>
      </vt:variant>
      <vt:variant>
        <vt:lpwstr>_Toc178164312</vt:lpwstr>
      </vt:variant>
      <vt:variant>
        <vt:i4>1310780</vt:i4>
      </vt:variant>
      <vt:variant>
        <vt:i4>14</vt:i4>
      </vt:variant>
      <vt:variant>
        <vt:i4>0</vt:i4>
      </vt:variant>
      <vt:variant>
        <vt:i4>5</vt:i4>
      </vt:variant>
      <vt:variant>
        <vt:lpwstr/>
      </vt:variant>
      <vt:variant>
        <vt:lpwstr>_Toc178164311</vt:lpwstr>
      </vt:variant>
      <vt:variant>
        <vt:i4>1310780</vt:i4>
      </vt:variant>
      <vt:variant>
        <vt:i4>11</vt:i4>
      </vt:variant>
      <vt:variant>
        <vt:i4>0</vt:i4>
      </vt:variant>
      <vt:variant>
        <vt:i4>5</vt:i4>
      </vt:variant>
      <vt:variant>
        <vt:lpwstr/>
      </vt:variant>
      <vt:variant>
        <vt:lpwstr>_Toc178164310</vt:lpwstr>
      </vt:variant>
      <vt:variant>
        <vt:i4>1376316</vt:i4>
      </vt:variant>
      <vt:variant>
        <vt:i4>8</vt:i4>
      </vt:variant>
      <vt:variant>
        <vt:i4>0</vt:i4>
      </vt:variant>
      <vt:variant>
        <vt:i4>5</vt:i4>
      </vt:variant>
      <vt:variant>
        <vt:lpwstr/>
      </vt:variant>
      <vt:variant>
        <vt:lpwstr>_Toc178164309</vt:lpwstr>
      </vt:variant>
      <vt:variant>
        <vt:i4>1376316</vt:i4>
      </vt:variant>
      <vt:variant>
        <vt:i4>5</vt:i4>
      </vt:variant>
      <vt:variant>
        <vt:i4>0</vt:i4>
      </vt:variant>
      <vt:variant>
        <vt:i4>5</vt:i4>
      </vt:variant>
      <vt:variant>
        <vt:lpwstr/>
      </vt:variant>
      <vt:variant>
        <vt:lpwstr>_Toc178164308</vt:lpwstr>
      </vt:variant>
      <vt:variant>
        <vt:i4>1376316</vt:i4>
      </vt:variant>
      <vt:variant>
        <vt:i4>2</vt:i4>
      </vt:variant>
      <vt:variant>
        <vt:i4>0</vt:i4>
      </vt:variant>
      <vt:variant>
        <vt:i4>5</vt:i4>
      </vt:variant>
      <vt:variant>
        <vt:lpwstr/>
      </vt:variant>
      <vt:variant>
        <vt:lpwstr>_Toc178164307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Jones (Bristol LC)</dc:creator>
  <cp:keywords/>
  <dc:description/>
  <cp:lastModifiedBy>Gina Jones (Bristol LC)</cp:lastModifiedBy>
  <cp:revision>64</cp:revision>
  <dcterms:created xsi:type="dcterms:W3CDTF">2024-09-25T10:34:00Z</dcterms:created>
  <dcterms:modified xsi:type="dcterms:W3CDTF">2024-10-01T08:48:00Z</dcterms:modified>
</cp:coreProperties>
</file>