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C9" w:rsidRPr="00CD1EE3" w:rsidRDefault="00195BD6" w:rsidP="001B74C9">
      <w:pPr>
        <w:autoSpaceDE w:val="0"/>
        <w:autoSpaceDN w:val="0"/>
        <w:adjustRightInd w:val="0"/>
        <w:rPr>
          <w:rFonts w:ascii="Arial" w:hAnsi="Arial" w:cs="Arial"/>
          <w:bCs/>
          <w:sz w:val="22"/>
          <w:szCs w:val="22"/>
        </w:rPr>
      </w:pPr>
      <w:r w:rsidRPr="00195BD6">
        <w:rPr>
          <w:rFonts w:ascii="Arial" w:hAnsi="Arial" w:cs="Arial"/>
          <w:bCs/>
          <w:noProof/>
          <w:sz w:val="22"/>
          <w:szCs w:val="22"/>
          <w:lang w:eastAsia="en-GB"/>
        </w:rPr>
        <w:drawing>
          <wp:anchor distT="0" distB="0" distL="114300" distR="114300" simplePos="0" relativeHeight="251659264" behindDoc="1" locked="0" layoutInCell="1" allowOverlap="0">
            <wp:simplePos x="0" y="0"/>
            <wp:positionH relativeFrom="column">
              <wp:posOffset>-57150</wp:posOffset>
            </wp:positionH>
            <wp:positionV relativeFrom="paragraph">
              <wp:posOffset>-447675</wp:posOffset>
            </wp:positionV>
            <wp:extent cx="2967990" cy="1019175"/>
            <wp:effectExtent l="19050" t="0" r="3810" b="0"/>
            <wp:wrapSquare wrapText="bothSides"/>
            <wp:docPr id="1" name="Picture 3" descr="ABLC logo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LC logo black text"/>
                    <pic:cNvPicPr>
                      <a:picLocks noChangeAspect="1" noChangeArrowheads="1"/>
                    </pic:cNvPicPr>
                  </pic:nvPicPr>
                  <pic:blipFill>
                    <a:blip r:embed="rId8" cstate="print"/>
                    <a:srcRect/>
                    <a:stretch>
                      <a:fillRect/>
                    </a:stretch>
                  </pic:blipFill>
                  <pic:spPr bwMode="auto">
                    <a:xfrm>
                      <a:off x="0" y="0"/>
                      <a:ext cx="2967990" cy="1019175"/>
                    </a:xfrm>
                    <a:prstGeom prst="rect">
                      <a:avLst/>
                    </a:prstGeom>
                    <a:noFill/>
                    <a:ln w="9525">
                      <a:noFill/>
                      <a:miter lim="800000"/>
                      <a:headEnd/>
                      <a:tailEnd/>
                    </a:ln>
                  </pic:spPr>
                </pic:pic>
              </a:graphicData>
            </a:graphic>
          </wp:anchor>
        </w:drawing>
      </w:r>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9"/>
          <w:footerReference w:type="first" r:id="rId10"/>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0" w:name="GrievanceProcedure"/>
      <w:r w:rsidRPr="00AB54EE">
        <w:rPr>
          <w:rFonts w:ascii="Arial" w:hAnsi="Arial" w:cs="Arial"/>
          <w:sz w:val="22"/>
          <w:szCs w:val="22"/>
          <w:lang w:val="en-US"/>
        </w:rPr>
        <w:t xml:space="preserve">grievance procedure </w:t>
      </w:r>
      <w:bookmarkEnd w:id="0"/>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1"/>
          <w:footerReference w:type="first" r:id="rId12"/>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BD493D" w:rsidRPr="00857230" w:rsidRDefault="00BD493D" w:rsidP="006F5AD1">
      <w:pPr>
        <w:jc w:val="both"/>
        <w:rPr>
          <w:rFonts w:ascii="Arial" w:hAnsi="Arial" w:cs="Arial"/>
          <w:b/>
          <w:sz w:val="22"/>
          <w:szCs w:val="22"/>
        </w:rPr>
      </w:pPr>
    </w:p>
    <w:sectPr w:rsidR="00BD493D" w:rsidRPr="00857230" w:rsidSect="007B207C">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Avon &amp; Bristol Law Centre</w:t>
    </w:r>
    <w:r w:rsidRPr="008C125A">
      <w:rPr>
        <w:rFonts w:ascii="Verdana" w:hAnsi="Verdana"/>
        <w:b/>
        <w:sz w:val="12"/>
      </w:rPr>
      <w:tab/>
    </w:r>
    <w:r>
      <w:rPr>
        <w:rFonts w:ascii="Verdana" w:hAnsi="Verdana"/>
        <w:b/>
        <w:sz w:val="12"/>
      </w:rPr>
      <w:t>V5.2</w:t>
    </w:r>
    <w:r w:rsidRPr="008C125A">
      <w:rPr>
        <w:rFonts w:ascii="Verdana" w:hAnsi="Verdana"/>
        <w:b/>
        <w:sz w:val="12"/>
      </w:rPr>
      <w:tab/>
    </w:r>
    <w:r>
      <w:rPr>
        <w:rFonts w:ascii="Verdana" w:hAnsi="Verdana"/>
        <w:b/>
        <w:sz w:val="12"/>
      </w:rPr>
      <w:t>April 2017</w:t>
    </w:r>
  </w:p>
  <w:p w:rsidR="006F5AD1" w:rsidRDefault="00AB54EE" w:rsidP="007B207C">
    <w:pPr>
      <w:pStyle w:val="Footer"/>
      <w:ind w:left="0" w:right="360" w:firstLine="0"/>
      <w:rPr>
        <w:rFonts w:ascii="Verdana" w:hAnsi="Verdana"/>
        <w:b/>
        <w:sz w:val="12"/>
      </w:rPr>
    </w:pPr>
    <w:r>
      <w:rPr>
        <w:rFonts w:ascii="Verdana" w:hAnsi="Verdana"/>
        <w:b/>
        <w:sz w:val="12"/>
      </w:rPr>
      <w:t>Review Date:</w:t>
    </w:r>
    <w:r>
      <w:rPr>
        <w:rFonts w:ascii="Verdana" w:hAnsi="Verdana"/>
        <w:b/>
        <w:sz w:val="12"/>
      </w:rPr>
      <w:tab/>
      <w:t>Page 1</w:t>
    </w:r>
  </w:p>
  <w:p w:rsidR="006F5AD1" w:rsidRPr="00C26AB3" w:rsidRDefault="006F5AD1" w:rsidP="007B207C">
    <w:pPr>
      <w:pStyle w:val="Footer"/>
      <w:ind w:left="0" w:right="360" w:firstLine="0"/>
      <w:rPr>
        <w:rFonts w:ascii="Verdana" w:hAnsi="Verdana"/>
      </w:rPr>
    </w:pPr>
    <w:r>
      <w:rPr>
        <w:rFonts w:ascii="Verdana" w:hAnsi="Verdana"/>
        <w:b/>
        <w:sz w:val="12"/>
      </w:rPr>
      <w:t>Approved Date: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E" w:rsidRDefault="00AB54EE" w:rsidP="007B207C">
    <w:pPr>
      <w:pStyle w:val="Footer"/>
      <w:ind w:left="0" w:right="360" w:firstLine="0"/>
      <w:rPr>
        <w:rFonts w:ascii="Verdana" w:hAnsi="Verdana"/>
        <w:b/>
        <w:sz w:val="12"/>
      </w:rPr>
    </w:pPr>
    <w:r>
      <w:rPr>
        <w:rFonts w:ascii="Verdana" w:hAnsi="Verdana"/>
        <w:b/>
        <w:color w:val="000000"/>
        <w:sz w:val="12"/>
        <w:szCs w:val="12"/>
        <w:lang w:val="cy-GB"/>
      </w:rPr>
      <w:t>Avon &amp; Bristol Law Centre</w:t>
    </w:r>
    <w:r w:rsidRPr="008C125A">
      <w:rPr>
        <w:rFonts w:ascii="Verdana" w:hAnsi="Verdana"/>
        <w:b/>
        <w:sz w:val="12"/>
      </w:rPr>
      <w:tab/>
    </w:r>
    <w:r>
      <w:rPr>
        <w:rFonts w:ascii="Verdana" w:hAnsi="Verdana"/>
        <w:b/>
        <w:sz w:val="12"/>
      </w:rPr>
      <w:t>V5.2</w:t>
    </w:r>
    <w:r w:rsidRPr="008C125A">
      <w:rPr>
        <w:rFonts w:ascii="Verdana" w:hAnsi="Verdana"/>
        <w:b/>
        <w:sz w:val="12"/>
      </w:rPr>
      <w:tab/>
    </w:r>
    <w:r>
      <w:rPr>
        <w:rFonts w:ascii="Verdana" w:hAnsi="Verdana"/>
        <w:b/>
        <w:sz w:val="12"/>
      </w:rPr>
      <w:t>April 2017</w:t>
    </w:r>
  </w:p>
  <w:p w:rsidR="00AB54EE" w:rsidRDefault="00AB54EE" w:rsidP="007B207C">
    <w:pPr>
      <w:pStyle w:val="Footer"/>
      <w:ind w:left="0" w:right="360" w:firstLine="0"/>
      <w:rPr>
        <w:rFonts w:ascii="Verdana" w:hAnsi="Verdana"/>
        <w:b/>
        <w:sz w:val="12"/>
      </w:rPr>
    </w:pPr>
    <w:r>
      <w:rPr>
        <w:rFonts w:ascii="Verdana" w:hAnsi="Verdana"/>
        <w:b/>
        <w:sz w:val="12"/>
      </w:rPr>
      <w:t>Review Date:</w:t>
    </w:r>
    <w:r>
      <w:rPr>
        <w:rFonts w:ascii="Verdana" w:hAnsi="Verdana"/>
        <w:b/>
        <w:sz w:val="12"/>
      </w:rPr>
      <w:tab/>
      <w:t>Page 2</w:t>
    </w:r>
  </w:p>
  <w:p w:rsidR="00AB54EE" w:rsidRPr="00C26AB3" w:rsidRDefault="00AB54EE" w:rsidP="007B207C">
    <w:pPr>
      <w:pStyle w:val="Footer"/>
      <w:ind w:left="0" w:right="360" w:firstLine="0"/>
      <w:rPr>
        <w:rFonts w:ascii="Verdana" w:hAnsi="Verdana"/>
      </w:rPr>
    </w:pPr>
    <w:r>
      <w:rPr>
        <w:rFonts w:ascii="Verdana" w:hAnsi="Verdana"/>
        <w:b/>
        <w:sz w:val="12"/>
      </w:rPr>
      <w:t>Approved Date: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E" w:rsidRDefault="00AB54EE" w:rsidP="007B207C">
    <w:pPr>
      <w:pStyle w:val="Footer"/>
      <w:ind w:left="0" w:right="360" w:firstLine="0"/>
      <w:rPr>
        <w:rFonts w:ascii="Verdana" w:hAnsi="Verdana"/>
        <w:b/>
        <w:sz w:val="12"/>
      </w:rPr>
    </w:pPr>
    <w:r>
      <w:rPr>
        <w:rFonts w:ascii="Verdana" w:hAnsi="Verdana"/>
        <w:b/>
        <w:color w:val="000000"/>
        <w:sz w:val="12"/>
        <w:szCs w:val="12"/>
        <w:lang w:val="cy-GB"/>
      </w:rPr>
      <w:t>Avon &amp; Bristol Law Centre</w:t>
    </w:r>
    <w:r w:rsidRPr="008C125A">
      <w:rPr>
        <w:rFonts w:ascii="Verdana" w:hAnsi="Verdana"/>
        <w:b/>
        <w:sz w:val="12"/>
      </w:rPr>
      <w:tab/>
    </w:r>
    <w:r>
      <w:rPr>
        <w:rFonts w:ascii="Verdana" w:hAnsi="Verdana"/>
        <w:b/>
        <w:sz w:val="12"/>
      </w:rPr>
      <w:t>V5.2</w:t>
    </w:r>
    <w:r w:rsidRPr="008C125A">
      <w:rPr>
        <w:rFonts w:ascii="Verdana" w:hAnsi="Verdana"/>
        <w:b/>
        <w:sz w:val="12"/>
      </w:rPr>
      <w:tab/>
    </w:r>
    <w:r>
      <w:rPr>
        <w:rFonts w:ascii="Verdana" w:hAnsi="Verdana"/>
        <w:b/>
        <w:sz w:val="12"/>
      </w:rPr>
      <w:t>April 2017</w:t>
    </w:r>
  </w:p>
  <w:p w:rsidR="00AB54EE" w:rsidRDefault="00AB54EE" w:rsidP="007B207C">
    <w:pPr>
      <w:pStyle w:val="Footer"/>
      <w:ind w:left="0" w:right="360" w:firstLine="0"/>
      <w:rPr>
        <w:rFonts w:ascii="Verdana" w:hAnsi="Verdana"/>
        <w:b/>
        <w:sz w:val="12"/>
      </w:rPr>
    </w:pPr>
    <w:r>
      <w:rPr>
        <w:rFonts w:ascii="Verdana" w:hAnsi="Verdana"/>
        <w:b/>
        <w:sz w:val="12"/>
      </w:rPr>
      <w:t>Review Date:</w:t>
    </w:r>
    <w:r>
      <w:rPr>
        <w:rFonts w:ascii="Verdana" w:hAnsi="Verdana"/>
        <w:b/>
        <w:sz w:val="12"/>
      </w:rPr>
      <w:tab/>
      <w:t>Page 3</w:t>
    </w:r>
  </w:p>
  <w:p w:rsidR="00AB54EE" w:rsidRPr="00C26AB3" w:rsidRDefault="00AB54EE" w:rsidP="007B207C">
    <w:pPr>
      <w:pStyle w:val="Footer"/>
      <w:ind w:left="0" w:right="360" w:firstLine="0"/>
      <w:rPr>
        <w:rFonts w:ascii="Verdana" w:hAnsi="Verdana"/>
      </w:rPr>
    </w:pPr>
    <w:r>
      <w:rPr>
        <w:rFonts w:ascii="Verdana" w:hAnsi="Verdana"/>
        <w:b/>
        <w:sz w:val="12"/>
      </w:rPr>
      <w:t>Approved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D1" w:rsidRDefault="006F5AD1"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F5AD1" w:rsidRDefault="006845DD"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26</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6845DD"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26</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1B74C9"/>
    <w:rsid w:val="00010689"/>
    <w:rsid w:val="00032EF4"/>
    <w:rsid w:val="00054CF1"/>
    <w:rsid w:val="001266A1"/>
    <w:rsid w:val="00131E0C"/>
    <w:rsid w:val="00144B38"/>
    <w:rsid w:val="00173F2F"/>
    <w:rsid w:val="00187CD1"/>
    <w:rsid w:val="00195BD6"/>
    <w:rsid w:val="001B403C"/>
    <w:rsid w:val="001B74C9"/>
    <w:rsid w:val="001B7D4B"/>
    <w:rsid w:val="001C3130"/>
    <w:rsid w:val="001C761B"/>
    <w:rsid w:val="002142E0"/>
    <w:rsid w:val="00215C0A"/>
    <w:rsid w:val="002622F2"/>
    <w:rsid w:val="002632D9"/>
    <w:rsid w:val="00263EED"/>
    <w:rsid w:val="002850B3"/>
    <w:rsid w:val="00297713"/>
    <w:rsid w:val="002A46F6"/>
    <w:rsid w:val="002C139B"/>
    <w:rsid w:val="002D41E9"/>
    <w:rsid w:val="002E5557"/>
    <w:rsid w:val="002E6846"/>
    <w:rsid w:val="00326C52"/>
    <w:rsid w:val="00366584"/>
    <w:rsid w:val="003677D9"/>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705FC"/>
    <w:rsid w:val="007A3A99"/>
    <w:rsid w:val="007B207C"/>
    <w:rsid w:val="007D42F1"/>
    <w:rsid w:val="007E728B"/>
    <w:rsid w:val="00805B39"/>
    <w:rsid w:val="00814221"/>
    <w:rsid w:val="008219DD"/>
    <w:rsid w:val="008326F4"/>
    <w:rsid w:val="00857230"/>
    <w:rsid w:val="0087475A"/>
    <w:rsid w:val="00897EA2"/>
    <w:rsid w:val="008A5325"/>
    <w:rsid w:val="008A6AC8"/>
    <w:rsid w:val="008C79A2"/>
    <w:rsid w:val="008E5BB4"/>
    <w:rsid w:val="009041CC"/>
    <w:rsid w:val="00935FE5"/>
    <w:rsid w:val="00A10AA6"/>
    <w:rsid w:val="00A2238A"/>
    <w:rsid w:val="00A47575"/>
    <w:rsid w:val="00A76AE8"/>
    <w:rsid w:val="00A81A62"/>
    <w:rsid w:val="00A919D4"/>
    <w:rsid w:val="00AB54EE"/>
    <w:rsid w:val="00B50DA0"/>
    <w:rsid w:val="00B71EC1"/>
    <w:rsid w:val="00B8741E"/>
    <w:rsid w:val="00BC62F3"/>
    <w:rsid w:val="00BC7476"/>
    <w:rsid w:val="00BD493D"/>
    <w:rsid w:val="00BF2CA1"/>
    <w:rsid w:val="00C051DC"/>
    <w:rsid w:val="00C11F6D"/>
    <w:rsid w:val="00C1335C"/>
    <w:rsid w:val="00C14798"/>
    <w:rsid w:val="00C21C95"/>
    <w:rsid w:val="00C34147"/>
    <w:rsid w:val="00C514CA"/>
    <w:rsid w:val="00C70130"/>
    <w:rsid w:val="00C93BC1"/>
    <w:rsid w:val="00CB761E"/>
    <w:rsid w:val="00CD1EE3"/>
    <w:rsid w:val="00CD5B1A"/>
    <w:rsid w:val="00CE1EE1"/>
    <w:rsid w:val="00D05D77"/>
    <w:rsid w:val="00D06C5B"/>
    <w:rsid w:val="00D10232"/>
    <w:rsid w:val="00D4747E"/>
    <w:rsid w:val="00D5405C"/>
    <w:rsid w:val="00D8000B"/>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E9651-EB15-4576-BD06-1B70C6FA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Abbott</dc:creator>
  <cp:lastModifiedBy>ginettec</cp:lastModifiedBy>
  <cp:revision>2</cp:revision>
  <dcterms:created xsi:type="dcterms:W3CDTF">2018-10-29T09:55:00Z</dcterms:created>
  <dcterms:modified xsi:type="dcterms:W3CDTF">2018-10-29T09:55:00Z</dcterms:modified>
</cp:coreProperties>
</file>